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CA" w:rsidRDefault="003442B6">
      <w:pPr>
        <w:rPr>
          <w:rFonts w:ascii="Calibri" w:hAnsi="Calibri" w:cs="Calibri"/>
        </w:rPr>
      </w:pPr>
      <w:r w:rsidRPr="003442B6">
        <w:rPr>
          <w:rFonts w:ascii="Calibri" w:hAnsi="Calibri" w:cs="Calibri"/>
        </w:rPr>
        <w:t>"</w:t>
      </w:r>
      <w:bookmarkStart w:id="0" w:name="_GoBack"/>
      <w:r w:rsidRPr="003442B6">
        <w:rPr>
          <w:rFonts w:ascii="Calibri" w:hAnsi="Calibri" w:cs="Calibri"/>
        </w:rPr>
        <w:t xml:space="preserve">СНиП 2.07.01-89*. Градостроительство. </w:t>
      </w:r>
      <w:proofErr w:type="gramStart"/>
      <w:r w:rsidRPr="003442B6">
        <w:rPr>
          <w:rFonts w:ascii="Calibri" w:hAnsi="Calibri" w:cs="Calibri"/>
        </w:rPr>
        <w:t xml:space="preserve">Планировка и застройка городских и сельских поселений" </w:t>
      </w:r>
      <w:bookmarkEnd w:id="0"/>
      <w:r w:rsidRPr="003442B6">
        <w:rPr>
          <w:rFonts w:ascii="Calibri" w:hAnsi="Calibri" w:cs="Calibri"/>
        </w:rPr>
        <w:t>(утв. Постановлением Госстроя СССР от 16.05.1989 N 78) (ред. от 25.08.1993))</w:t>
      </w:r>
      <w:proofErr w:type="gramEnd"/>
    </w:p>
    <w:p w:rsidR="003442B6" w:rsidRDefault="003442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6.39*. Расстояния от наземных и наземно-подземных гаражей, открытых стоянок, предназначенных для постоянного и временного хранения легковых автомобилей, и станций технического обслуживания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следует принимать не менее приведенных в табл. 10*.</w:t>
      </w:r>
      <w:proofErr w:type="gramEnd"/>
    </w:p>
    <w:p w:rsidR="003442B6" w:rsidRDefault="003442B6">
      <w:pPr>
        <w:autoSpaceDE w:val="0"/>
        <w:autoSpaceDN w:val="0"/>
        <w:adjustRightInd w:val="0"/>
        <w:spacing w:after="0" w:line="240" w:lineRule="auto"/>
        <w:outlineLvl w:val="2"/>
        <w:rPr>
          <w:rFonts w:ascii="Calibri" w:hAnsi="Calibri" w:cs="Calibri"/>
        </w:rPr>
      </w:pPr>
    </w:p>
    <w:p w:rsidR="003442B6" w:rsidRDefault="003442B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10*</w:t>
      </w:r>
    </w:p>
    <w:p w:rsidR="003442B6" w:rsidRDefault="003442B6">
      <w:pPr>
        <w:autoSpaceDE w:val="0"/>
        <w:autoSpaceDN w:val="0"/>
        <w:adjustRightInd w:val="0"/>
        <w:spacing w:after="0" w:line="240" w:lineRule="auto"/>
        <w:outlineLvl w:val="2"/>
        <w:rPr>
          <w:rFonts w:ascii="Calibri" w:hAnsi="Calibri" w:cs="Calibri"/>
        </w:rPr>
      </w:pPr>
    </w:p>
    <w:p w:rsidR="003442B6" w:rsidRDefault="003442B6">
      <w:pPr>
        <w:pStyle w:val="ConsPlusNonformat"/>
        <w:widowControl/>
        <w:jc w:val="both"/>
      </w:pPr>
      <w:r>
        <w:t>───────────────────┬──────────────────────────────────────────────────</w:t>
      </w:r>
    </w:p>
    <w:p w:rsidR="003442B6" w:rsidRDefault="003442B6">
      <w:pPr>
        <w:pStyle w:val="ConsPlusNonformat"/>
        <w:widowControl/>
        <w:jc w:val="both"/>
      </w:pPr>
      <w:r>
        <w:t xml:space="preserve"> Здания, до которых│                  Расстояние, </w:t>
      </w:r>
      <w:proofErr w:type="gramStart"/>
      <w:r>
        <w:t>м</w:t>
      </w:r>
      <w:proofErr w:type="gramEnd"/>
    </w:p>
    <w:p w:rsidR="003442B6" w:rsidRDefault="003442B6">
      <w:pPr>
        <w:pStyle w:val="ConsPlusNonformat"/>
        <w:widowControl/>
        <w:jc w:val="both"/>
      </w:pPr>
      <w:r>
        <w:t xml:space="preserve">   определяется    ├──────────────────────────────────┬───────────────</w:t>
      </w:r>
    </w:p>
    <w:p w:rsidR="003442B6" w:rsidRDefault="003442B6">
      <w:pPr>
        <w:pStyle w:val="ConsPlusNonformat"/>
        <w:widowControl/>
        <w:jc w:val="both"/>
      </w:pPr>
      <w:r>
        <w:t xml:space="preserve">    расстояние     │   от гаражей и открытых стоянок  │  от станций</w:t>
      </w:r>
    </w:p>
    <w:p w:rsidR="003442B6" w:rsidRDefault="003442B6">
      <w:pPr>
        <w:pStyle w:val="ConsPlusNonformat"/>
        <w:widowControl/>
        <w:jc w:val="both"/>
      </w:pPr>
      <w:r>
        <w:t xml:space="preserve">                   │  при числе легковых автомобилей  │ </w:t>
      </w:r>
      <w:proofErr w:type="gramStart"/>
      <w:r>
        <w:t>технического</w:t>
      </w:r>
      <w:proofErr w:type="gramEnd"/>
    </w:p>
    <w:p w:rsidR="003442B6" w:rsidRDefault="003442B6">
      <w:pPr>
        <w:pStyle w:val="ConsPlusNonformat"/>
        <w:widowControl/>
        <w:jc w:val="both"/>
      </w:pPr>
      <w:r>
        <w:t xml:space="preserve">                   │                                  │ обслуживания</w:t>
      </w:r>
    </w:p>
    <w:p w:rsidR="003442B6" w:rsidRDefault="003442B6">
      <w:pPr>
        <w:pStyle w:val="ConsPlusNonformat"/>
        <w:widowControl/>
        <w:jc w:val="both"/>
      </w:pPr>
      <w:r>
        <w:t xml:space="preserve">                   │                                  │  при числе</w:t>
      </w:r>
    </w:p>
    <w:p w:rsidR="003442B6" w:rsidRDefault="003442B6">
      <w:pPr>
        <w:pStyle w:val="ConsPlusNonformat"/>
        <w:widowControl/>
        <w:jc w:val="both"/>
      </w:pPr>
      <w:r>
        <w:t xml:space="preserve">                   │                                  │    постов</w:t>
      </w:r>
    </w:p>
    <w:p w:rsidR="003442B6" w:rsidRDefault="003442B6">
      <w:pPr>
        <w:pStyle w:val="ConsPlusNonformat"/>
        <w:widowControl/>
        <w:jc w:val="both"/>
      </w:pPr>
      <w:r>
        <w:t xml:space="preserve">                   ├───────┬───────┬────────┬─────────┼───────┬───────</w:t>
      </w:r>
    </w:p>
    <w:p w:rsidR="003442B6" w:rsidRDefault="003442B6">
      <w:pPr>
        <w:pStyle w:val="ConsPlusNonformat"/>
        <w:widowControl/>
        <w:jc w:val="both"/>
      </w:pPr>
      <w:r>
        <w:t xml:space="preserve">                   │  10   │11 - 50│51 - 100│101 - 300│  10   │11 - 30</w:t>
      </w:r>
    </w:p>
    <w:p w:rsidR="003442B6" w:rsidRDefault="003442B6">
      <w:pPr>
        <w:pStyle w:val="ConsPlusNonformat"/>
        <w:widowControl/>
        <w:jc w:val="both"/>
      </w:pPr>
      <w:r>
        <w:t xml:space="preserve">                   │и менее│       │        │         │и менее│</w:t>
      </w:r>
    </w:p>
    <w:p w:rsidR="003442B6" w:rsidRDefault="003442B6">
      <w:pPr>
        <w:pStyle w:val="ConsPlusNonformat"/>
        <w:widowControl/>
        <w:jc w:val="both"/>
      </w:pPr>
      <w:r>
        <w:t>───────────────────┼───────┼───────┼────────┼─────────┼───────┼───────</w:t>
      </w:r>
    </w:p>
    <w:p w:rsidR="003442B6" w:rsidRDefault="003442B6">
      <w:pPr>
        <w:pStyle w:val="ConsPlusNonformat"/>
        <w:widowControl/>
        <w:jc w:val="both"/>
      </w:pPr>
      <w:r>
        <w:t xml:space="preserve">Жилые дома         │10 </w:t>
      </w:r>
      <w:hyperlink r:id="rId5" w:history="1">
        <w:r>
          <w:rPr>
            <w:color w:val="0000FF"/>
          </w:rPr>
          <w:t>&lt;**&gt;</w:t>
        </w:r>
      </w:hyperlink>
      <w:r>
        <w:t>│15     │   25   │   35    │  15   │  25</w:t>
      </w:r>
    </w:p>
    <w:p w:rsidR="003442B6" w:rsidRDefault="003442B6">
      <w:pPr>
        <w:pStyle w:val="ConsPlusNonformat"/>
        <w:widowControl/>
        <w:jc w:val="both"/>
      </w:pPr>
      <w:r>
        <w:t xml:space="preserve">  В том числе торцы│10 </w:t>
      </w:r>
      <w:hyperlink r:id="rId6" w:history="1">
        <w:r>
          <w:rPr>
            <w:color w:val="0000FF"/>
          </w:rPr>
          <w:t>&lt;**&gt;</w:t>
        </w:r>
      </w:hyperlink>
      <w:r>
        <w:t xml:space="preserve">│10 </w:t>
      </w:r>
      <w:hyperlink r:id="rId7" w:history="1">
        <w:r>
          <w:rPr>
            <w:color w:val="0000FF"/>
          </w:rPr>
          <w:t>&lt;**&gt;</w:t>
        </w:r>
      </w:hyperlink>
      <w:r>
        <w:t>│   15   │   25    │  15   │  25</w:t>
      </w:r>
    </w:p>
    <w:p w:rsidR="003442B6" w:rsidRDefault="003442B6">
      <w:pPr>
        <w:pStyle w:val="ConsPlusNonformat"/>
        <w:widowControl/>
        <w:jc w:val="both"/>
      </w:pPr>
      <w:r>
        <w:t xml:space="preserve">  жилых домов </w:t>
      </w:r>
      <w:proofErr w:type="gramStart"/>
      <w:r>
        <w:t>без</w:t>
      </w:r>
      <w:proofErr w:type="gramEnd"/>
      <w:r>
        <w:t xml:space="preserve">  │       │       │        │         │       │</w:t>
      </w:r>
    </w:p>
    <w:p w:rsidR="003442B6" w:rsidRDefault="003442B6">
      <w:pPr>
        <w:pStyle w:val="ConsPlusNonformat"/>
        <w:widowControl/>
        <w:jc w:val="both"/>
      </w:pPr>
      <w:r>
        <w:t xml:space="preserve">  окон             │       │       │        │         │       │</w:t>
      </w:r>
    </w:p>
    <w:p w:rsidR="003442B6" w:rsidRDefault="003442B6">
      <w:pPr>
        <w:pStyle w:val="ConsPlusNonformat"/>
        <w:widowControl/>
        <w:jc w:val="both"/>
      </w:pPr>
      <w:r>
        <w:t xml:space="preserve">Общественные здания│10 </w:t>
      </w:r>
      <w:hyperlink r:id="rId8" w:history="1">
        <w:r>
          <w:rPr>
            <w:color w:val="0000FF"/>
          </w:rPr>
          <w:t>&lt;**&gt;</w:t>
        </w:r>
      </w:hyperlink>
      <w:r>
        <w:t xml:space="preserve">│10 </w:t>
      </w:r>
      <w:hyperlink r:id="rId9" w:history="1">
        <w:r>
          <w:rPr>
            <w:color w:val="0000FF"/>
          </w:rPr>
          <w:t>&lt;**&gt;</w:t>
        </w:r>
      </w:hyperlink>
      <w:r>
        <w:t>│   15   │   25    │  15   │  20</w:t>
      </w:r>
    </w:p>
    <w:p w:rsidR="003442B6" w:rsidRDefault="003442B6">
      <w:pPr>
        <w:pStyle w:val="ConsPlusNonformat"/>
        <w:widowControl/>
        <w:jc w:val="both"/>
      </w:pPr>
      <w:r>
        <w:t xml:space="preserve">Общеобразовательные│15     │25     │   25   │   50    │  50   │ </w:t>
      </w:r>
      <w:hyperlink r:id="rId10" w:history="1">
        <w:r>
          <w:rPr>
            <w:color w:val="0000FF"/>
          </w:rPr>
          <w:t>&lt;*&gt;</w:t>
        </w:r>
      </w:hyperlink>
    </w:p>
    <w:p w:rsidR="003442B6" w:rsidRDefault="003442B6">
      <w:pPr>
        <w:pStyle w:val="ConsPlusNonformat"/>
        <w:widowControl/>
        <w:jc w:val="both"/>
      </w:pPr>
      <w:r>
        <w:t xml:space="preserve">школы и детские </w:t>
      </w:r>
      <w:proofErr w:type="gramStart"/>
      <w:r>
        <w:t>до</w:t>
      </w:r>
      <w:proofErr w:type="gramEnd"/>
      <w:r>
        <w:t>-│       │       │        │         │       │</w:t>
      </w:r>
    </w:p>
    <w:p w:rsidR="003442B6" w:rsidRDefault="003442B6">
      <w:pPr>
        <w:pStyle w:val="ConsPlusNonformat"/>
        <w:widowControl/>
        <w:jc w:val="both"/>
      </w:pPr>
      <w:r>
        <w:t>школьные учреждения│       │       │        │         │       │</w:t>
      </w:r>
    </w:p>
    <w:p w:rsidR="003442B6" w:rsidRDefault="003442B6">
      <w:pPr>
        <w:pStyle w:val="ConsPlusNonformat"/>
        <w:widowControl/>
        <w:jc w:val="both"/>
      </w:pPr>
      <w:r>
        <w:t xml:space="preserve">Лечебные учреждения│25     │50     │  </w:t>
      </w:r>
      <w:hyperlink r:id="rId11" w:history="1">
        <w:r>
          <w:rPr>
            <w:color w:val="0000FF"/>
          </w:rPr>
          <w:t>&lt;*&gt;</w:t>
        </w:r>
      </w:hyperlink>
      <w:r>
        <w:t xml:space="preserve">   │   </w:t>
      </w:r>
      <w:hyperlink r:id="rId12" w:history="1">
        <w:r>
          <w:rPr>
            <w:color w:val="0000FF"/>
          </w:rPr>
          <w:t>&lt;*&gt;</w:t>
        </w:r>
      </w:hyperlink>
      <w:r>
        <w:t xml:space="preserve">   │  50   │ </w:t>
      </w:r>
      <w:hyperlink r:id="rId13" w:history="1">
        <w:r>
          <w:rPr>
            <w:color w:val="0000FF"/>
          </w:rPr>
          <w:t>&lt;*&gt;</w:t>
        </w:r>
      </w:hyperlink>
    </w:p>
    <w:p w:rsidR="003442B6" w:rsidRDefault="003442B6">
      <w:pPr>
        <w:pStyle w:val="ConsPlusNonformat"/>
        <w:widowControl/>
        <w:jc w:val="both"/>
      </w:pPr>
      <w:r>
        <w:t>со стационаром     │       │       │        │         │       │</w:t>
      </w:r>
    </w:p>
    <w:p w:rsidR="003442B6" w:rsidRDefault="003442B6">
      <w:pPr>
        <w:pStyle w:val="ConsPlusNonformat"/>
        <w:widowControl/>
      </w:pPr>
    </w:p>
    <w:p w:rsidR="003442B6" w:rsidRDefault="003442B6">
      <w:pPr>
        <w:pStyle w:val="ConsPlusNonformat"/>
        <w:widowControl/>
      </w:pPr>
      <w:r>
        <w:t xml:space="preserve">     --------------------------------</w:t>
      </w:r>
    </w:p>
    <w:p w:rsidR="003442B6" w:rsidRDefault="003442B6">
      <w:pPr>
        <w:pStyle w:val="ConsPlusNonformat"/>
        <w:widowControl/>
      </w:pPr>
      <w:r>
        <w:t xml:space="preserve">     &lt;*&gt; Определяется по  согласованию с органами </w:t>
      </w:r>
      <w:proofErr w:type="gramStart"/>
      <w:r>
        <w:t>Государственного</w:t>
      </w:r>
      <w:proofErr w:type="gramEnd"/>
    </w:p>
    <w:p w:rsidR="003442B6" w:rsidRDefault="003442B6">
      <w:pPr>
        <w:pStyle w:val="ConsPlusNonformat"/>
        <w:widowControl/>
      </w:pPr>
      <w:r>
        <w:t>санитарно-эпидемиологического надзора.</w:t>
      </w:r>
    </w:p>
    <w:p w:rsidR="003442B6" w:rsidRDefault="003442B6">
      <w:pPr>
        <w:pStyle w:val="ConsPlusNonformat"/>
        <w:widowControl/>
      </w:pPr>
      <w:r>
        <w:t xml:space="preserve">     &lt;**&gt; Для зданий гаражей III  -  V   степеней    огнестойкости</w:t>
      </w:r>
    </w:p>
    <w:p w:rsidR="003442B6" w:rsidRDefault="003442B6">
      <w:pPr>
        <w:pStyle w:val="ConsPlusNonformat"/>
        <w:widowControl/>
      </w:pPr>
      <w:r>
        <w:t>расстояния следует принимать не менее 12 м.</w:t>
      </w:r>
    </w:p>
    <w:p w:rsidR="003442B6" w:rsidRDefault="003442B6">
      <w:pPr>
        <w:pStyle w:val="ConsPlusNonformat"/>
        <w:widowControl/>
      </w:pPr>
    </w:p>
    <w:p w:rsidR="003442B6" w:rsidRDefault="003442B6">
      <w:pPr>
        <w:pStyle w:val="ConsPlusNonformat"/>
        <w:widowControl/>
      </w:pPr>
      <w:r>
        <w:t xml:space="preserve">    Примечания*. 1. Расстояния следует определять от  окон жилых и</w:t>
      </w:r>
    </w:p>
    <w:p w:rsidR="003442B6" w:rsidRDefault="003442B6">
      <w:pPr>
        <w:pStyle w:val="ConsPlusNonformat"/>
        <w:widowControl/>
      </w:pPr>
      <w:r>
        <w:t>общественных   зданий   и   от    границ    земельных     участков</w:t>
      </w:r>
    </w:p>
    <w:p w:rsidR="003442B6" w:rsidRDefault="003442B6">
      <w:pPr>
        <w:pStyle w:val="ConsPlusNonformat"/>
        <w:widowControl/>
      </w:pPr>
      <w:r>
        <w:t>общеобразовательных    школ,   детских    дошкольных    учреждений</w:t>
      </w:r>
    </w:p>
    <w:p w:rsidR="003442B6" w:rsidRDefault="003442B6">
      <w:pPr>
        <w:pStyle w:val="ConsPlusNonformat"/>
        <w:widowControl/>
      </w:pPr>
      <w:r>
        <w:t>и  лечебных  учреждений  со стационаром  до стен гаража или границ</w:t>
      </w:r>
    </w:p>
    <w:p w:rsidR="003442B6" w:rsidRDefault="003442B6">
      <w:pPr>
        <w:pStyle w:val="ConsPlusNonformat"/>
        <w:widowControl/>
      </w:pPr>
      <w:r>
        <w:t>открытой стоянки.</w:t>
      </w:r>
    </w:p>
    <w:p w:rsidR="003442B6" w:rsidRDefault="003442B6">
      <w:pPr>
        <w:pStyle w:val="ConsPlusNonformat"/>
        <w:widowControl/>
      </w:pPr>
      <w:r>
        <w:t xml:space="preserve">     2. Расстояния от секционных жилых домов до  открытых площадок</w:t>
      </w:r>
    </w:p>
    <w:p w:rsidR="003442B6" w:rsidRDefault="003442B6">
      <w:pPr>
        <w:pStyle w:val="ConsPlusNonformat"/>
        <w:widowControl/>
      </w:pPr>
      <w:r>
        <w:t>вместимостью 101 - 300 машин,    размещаемых   вдоль    продольных</w:t>
      </w:r>
    </w:p>
    <w:p w:rsidR="003442B6" w:rsidRDefault="003442B6">
      <w:pPr>
        <w:pStyle w:val="ConsPlusNonformat"/>
        <w:widowControl/>
      </w:pPr>
      <w:r>
        <w:t>фасадов, следует принимать не менее 50 м.</w:t>
      </w:r>
    </w:p>
    <w:p w:rsidR="003442B6" w:rsidRDefault="003442B6">
      <w:pPr>
        <w:pStyle w:val="ConsPlusNonformat"/>
        <w:widowControl/>
      </w:pPr>
      <w:r>
        <w:t xml:space="preserve">     3. Для   гаражей   I - II  степеней огнестойкости указанные </w:t>
      </w:r>
      <w:proofErr w:type="gramStart"/>
      <w:r>
        <w:t>в</w:t>
      </w:r>
      <w:proofErr w:type="gramEnd"/>
    </w:p>
    <w:p w:rsidR="003442B6" w:rsidRDefault="003442B6">
      <w:pPr>
        <w:pStyle w:val="ConsPlusNonformat"/>
        <w:widowControl/>
      </w:pPr>
      <w:r>
        <w:t>табл. 10* расстояния допускается сокращать на 25% при   отсутствии</w:t>
      </w:r>
    </w:p>
    <w:p w:rsidR="003442B6" w:rsidRDefault="003442B6">
      <w:pPr>
        <w:pStyle w:val="ConsPlusNonformat"/>
        <w:widowControl/>
      </w:pPr>
      <w:r>
        <w:t xml:space="preserve">в гаражах открывающихся окон, а  также  въездов, ориентированных </w:t>
      </w:r>
      <w:proofErr w:type="gramStart"/>
      <w:r>
        <w:t>в</w:t>
      </w:r>
      <w:proofErr w:type="gramEnd"/>
    </w:p>
    <w:p w:rsidR="003442B6" w:rsidRDefault="003442B6">
      <w:pPr>
        <w:pStyle w:val="ConsPlusNonformat"/>
        <w:widowControl/>
      </w:pPr>
      <w:r>
        <w:t>сторону жилых и общественных зданий.</w:t>
      </w:r>
    </w:p>
    <w:p w:rsidR="003442B6" w:rsidRDefault="003442B6">
      <w:pPr>
        <w:pStyle w:val="ConsPlusNonformat"/>
        <w:widowControl/>
      </w:pPr>
      <w:r>
        <w:t xml:space="preserve">     4. Гаражи  и  открытые   стоянки   для    хранения   </w:t>
      </w:r>
      <w:proofErr w:type="gramStart"/>
      <w:r>
        <w:t>легковых</w:t>
      </w:r>
      <w:proofErr w:type="gramEnd"/>
    </w:p>
    <w:p w:rsidR="003442B6" w:rsidRDefault="003442B6">
      <w:pPr>
        <w:pStyle w:val="ConsPlusNonformat"/>
        <w:widowControl/>
      </w:pPr>
      <w:r>
        <w:t xml:space="preserve">автомобилей   вместимостью   более   300   </w:t>
      </w:r>
      <w:proofErr w:type="spellStart"/>
      <w:r>
        <w:t>машино</w:t>
      </w:r>
      <w:proofErr w:type="spellEnd"/>
      <w:r>
        <w:t>-мест  и  станции</w:t>
      </w:r>
    </w:p>
    <w:p w:rsidR="003442B6" w:rsidRDefault="003442B6">
      <w:pPr>
        <w:pStyle w:val="ConsPlusNonformat"/>
        <w:widowControl/>
      </w:pPr>
      <w:r>
        <w:t>технического   обслуживания   при   числе  постов более 30 следует</w:t>
      </w:r>
    </w:p>
    <w:p w:rsidR="003442B6" w:rsidRDefault="003442B6">
      <w:pPr>
        <w:pStyle w:val="ConsPlusNonformat"/>
        <w:widowControl/>
      </w:pPr>
      <w:r>
        <w:t>размещать  вне  жилых    районов на   производственной  территории</w:t>
      </w:r>
    </w:p>
    <w:p w:rsidR="003442B6" w:rsidRDefault="003442B6">
      <w:pPr>
        <w:pStyle w:val="ConsPlusNonformat"/>
        <w:widowControl/>
      </w:pPr>
      <w:r>
        <w:t>на   расстоянии   не   менее   50  м  от   жилых домов. Расстояния</w:t>
      </w:r>
    </w:p>
    <w:p w:rsidR="003442B6" w:rsidRDefault="003442B6">
      <w:pPr>
        <w:pStyle w:val="ConsPlusNonformat"/>
        <w:widowControl/>
      </w:pPr>
      <w:r>
        <w:t xml:space="preserve">определяются   по   согласованию   с   органами   </w:t>
      </w:r>
      <w:proofErr w:type="gramStart"/>
      <w:r>
        <w:t>Государственного</w:t>
      </w:r>
      <w:proofErr w:type="gramEnd"/>
    </w:p>
    <w:p w:rsidR="003442B6" w:rsidRDefault="003442B6">
      <w:pPr>
        <w:pStyle w:val="ConsPlusNonformat"/>
        <w:widowControl/>
      </w:pPr>
      <w:r>
        <w:t>санитарно-эпидемиологического надзора.</w:t>
      </w:r>
    </w:p>
    <w:p w:rsidR="003442B6" w:rsidRDefault="003442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42B6" w:rsidRDefault="00344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i/>
          <w:iCs/>
        </w:rPr>
        <w:lastRenderedPageBreak/>
        <w:t>(</w:t>
      </w:r>
      <w:hyperlink r:id="rId14" w:history="1">
        <w:r>
          <w:rPr>
            <w:rFonts w:ascii="Calibri" w:hAnsi="Calibri" w:cs="Calibri"/>
            <w:i/>
            <w:iCs/>
            <w:color w:val="0000FF"/>
          </w:rPr>
          <w:t>"СНиП 2.07.01-89*. Градостроительство.</w:t>
        </w:r>
        <w:proofErr w:type="gramEnd"/>
        <w:r>
          <w:rPr>
            <w:rFonts w:ascii="Calibri" w:hAnsi="Calibri" w:cs="Calibri"/>
            <w:i/>
            <w:iCs/>
            <w:color w:val="0000FF"/>
          </w:rPr>
          <w:t xml:space="preserve"> </w:t>
        </w:r>
        <w:proofErr w:type="gramStart"/>
        <w:r>
          <w:rPr>
            <w:rFonts w:ascii="Calibri" w:hAnsi="Calibri" w:cs="Calibri"/>
            <w:i/>
            <w:iCs/>
            <w:color w:val="0000FF"/>
          </w:rPr>
          <w:t>Планировка и застройка городских и сельских поселений" (утв. Постановлением Госстроя СССР от 16.05.1989 N 78) (ред. от 25.08.1993)</w:t>
        </w:r>
      </w:hyperlink>
      <w:r>
        <w:rPr>
          <w:rFonts w:ascii="Calibri" w:hAnsi="Calibri" w:cs="Calibri"/>
          <w:i/>
          <w:iCs/>
        </w:rPr>
        <w:t>)</w:t>
      </w:r>
      <w:proofErr w:type="gramEnd"/>
    </w:p>
    <w:p w:rsidR="003442B6" w:rsidRDefault="003442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42B6" w:rsidRDefault="003442B6"/>
    <w:sectPr w:rsidR="003442B6" w:rsidSect="00F2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1D"/>
    <w:rsid w:val="003442B6"/>
    <w:rsid w:val="005D3BCA"/>
    <w:rsid w:val="00E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4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4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381FBDDF06E8E572C6DCB339D93B569A6CEF3D06E25D0EE94F0D5A6EE3B6EEDC02CFA0039s0JDF" TargetMode="External"/><Relationship Id="rId13" Type="http://schemas.openxmlformats.org/officeDocument/2006/relationships/hyperlink" Target="consultantplus://offline/ref=96D381FBDDF06E8E572C6DCB339D93B569A6CEF3D06E25D0EE94F0D5A6EE3B6EEDC02CFA0039s0J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D381FBDDF06E8E572C6DCB339D93B569A6CEF3D06E25D0EE94F0D5A6EE3B6EEDC02CFA0039s0JDF" TargetMode="External"/><Relationship Id="rId12" Type="http://schemas.openxmlformats.org/officeDocument/2006/relationships/hyperlink" Target="consultantplus://offline/ref=96D381FBDDF06E8E572C6DCB339D93B569A6CEF3D06E25D0EE94F0D5A6EE3B6EEDC02CFA0039s0JC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D381FBDDF06E8E572C6DCB339D93B569A6CEF3D06E25D0EE94F0D5A6EE3B6EEDC02CFA0039s0JDF" TargetMode="External"/><Relationship Id="rId11" Type="http://schemas.openxmlformats.org/officeDocument/2006/relationships/hyperlink" Target="consultantplus://offline/ref=96D381FBDDF06E8E572C6DCB339D93B569A6CEF3D06E25D0EE94F0D5A6EE3B6EEDC02CFA0039s0JCF" TargetMode="External"/><Relationship Id="rId5" Type="http://schemas.openxmlformats.org/officeDocument/2006/relationships/hyperlink" Target="consultantplus://offline/ref=96D381FBDDF06E8E572C6DCB339D93B569A6CEF3D06E25D0EE94F0D5A6EE3B6EEDC02CFA0039s0JD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6D381FBDDF06E8E572C6DCB339D93B569A6CEF3D06E25D0EE94F0D5A6EE3B6EEDC02CFA0039s0J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D381FBDDF06E8E572C6DCB339D93B569A6CEF3D06E25D0EE94F0D5A6EE3B6EEDC02CFA0039s0JDF" TargetMode="External"/><Relationship Id="rId14" Type="http://schemas.openxmlformats.org/officeDocument/2006/relationships/hyperlink" Target="consultantplus://offline/ref=96D381FBDDF06E8E572C6DCB339D93B569A6CEF3D06E25D0EE94F0D5A6EE3B6EEDC02CFA0039s0J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2012-11-05T03:24:00Z</dcterms:created>
  <dcterms:modified xsi:type="dcterms:W3CDTF">2012-11-05T05:10:00Z</dcterms:modified>
</cp:coreProperties>
</file>