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A" w:rsidRPr="004D347A" w:rsidRDefault="004D347A" w:rsidP="004D347A">
      <w:pPr>
        <w:shd w:val="clear" w:color="auto" w:fill="FFFFFF"/>
        <w:spacing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"Электронный журнал "Азбука права", 13.10.2014</w:t>
      </w:r>
    </w:p>
    <w:p w:rsidR="004D347A" w:rsidRPr="004D347A" w:rsidRDefault="004D347A" w:rsidP="004D347A">
      <w:pPr>
        <w:shd w:val="clear" w:color="auto" w:fill="FFFFFF"/>
        <w:spacing w:before="240" w:after="96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FF0000"/>
          <w:sz w:val="29"/>
          <w:szCs w:val="29"/>
          <w:lang w:eastAsia="ru-RU"/>
        </w:rPr>
      </w:pPr>
      <w:r w:rsidRPr="004D347A">
        <w:rPr>
          <w:rFonts w:ascii="Helvetica" w:eastAsia="Times New Roman" w:hAnsi="Helvetica" w:cs="Helvetica"/>
          <w:b/>
          <w:bCs/>
          <w:color w:val="FF0000"/>
          <w:sz w:val="29"/>
          <w:szCs w:val="29"/>
          <w:lang w:eastAsia="ru-RU"/>
        </w:rPr>
        <w:t>КАК ВЕСТИ СЕБЯ С КОЛЛЕКТОРАМИ?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Вы можете столкнуться с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коллекторским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агентством в двух случаях: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если банк временно привлек такое агентство для проведения мероприятий, направленных на погашение заемщиком просроченной задолженности по кредиту (в данном случае договор уступки права требования между банком и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коллекторским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агентством не заключается);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если банк уступил задолженность заемщика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коллекторскому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агентству на основании соответствующего договора.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При этом вы можете быть как самим заемщиком по кредитному договору, так и лицом, предоставившим обеспечение по кредитному договору иного заемщика.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При общении с коллекторами обратите внимание на следующее.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1. Правом взыскивать задолженность с должника обладают только уполномоченные государственные органы (Федеральная служба судебных приставов) и в установленном порядке. Процесс взыскания строго регламентирован и не предполагает физических мер воздействия.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Коллекторские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 не обладают правом взыскания. Они вправе лишь вести переговоры. Более того,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коллекторским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агентствам запрещено осуществлять мероприятия, направленные на досрочный возврат заемщиком задолженности, за исключением случая, если право потребовать досрочного исполнения обязательства по кредитному договору предусмотрено законодательством (</w:t>
      </w:r>
      <w:hyperlink r:id="rId4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п. 1 ст. 15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Закона от 21.12.2013 N 353-ФЗ).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2. В процессе возврата задолженности во внесудебном порядке коллекторы вправе: вести с вами переговоры при личной встрече или по телефону, направлять вам письма и уведомления по почте, а также сообщения по электронной почте,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смс-сообщения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и т.п. При этом любые контакты с вами допустимы только в период с 8 до 22 часов (по местному времени вашего места жительства) в рабочие дни и с 9 до 20 часов в выходные и нерабочие праздничные дни. Взаимодействовать с вами иными способами коллекторы могут только при наличии вашего письменного согласия (</w:t>
      </w:r>
      <w:hyperlink r:id="rId5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п. 3 ст. 15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Закона N 353-ФЗ).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3. При непосредственном общении с вами коллектор обязан сообщить наименование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коллекторского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агентства, его место нахождения для направления корреспонденции, а также свои фамилию, имя, отчество (последнее при наличии) и должность. Если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коллекторское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 привлечено банком временно (т.е. задолженность не была ему уступлена), коллектор обязан назвать также наименование банка-кредитора (</w:t>
      </w:r>
      <w:hyperlink r:id="rId6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п. 5 ст. 15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Закона N 353-ФЗ).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4. Коллекторы не имеют права приходить к вам домой или на работу без вашего добровольного согласия. Приглашать или не приглашать коллекторов войти - ваш выбор. Неприкосновенность жилища - это конституционное право человека и гражданина (</w:t>
      </w:r>
      <w:hyperlink r:id="rId7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ст. 25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Конституции).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5. При личной встрече с коллекторами вы вправе потребовать, а коллекторы обязаны представить: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- документ, удостоверяющий личность;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доверенность, подтверждающую полномочия коллекторов, подписанную руководителем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коллекторского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агентства;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если банк-кредитор уступил право требования по кредитному договору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коллекторскому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агентству - копию договора уступки права требования (цессии). С договором уступки права требования вы также сможете ознакомиться, обратившись в само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коллекторское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Если коллекторы отказываются представить перечисленные документы, немедленно прекратите с ними общение.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6. Убедитесь в соответствии действий коллекторов правам, предоставленным им согласно имеющейся у них доверенности. Так, коллектор не имеет права изымать какое-либо имущество, проводить его опись, оценку и т.п. Это могут совершать только судебные приставы-исполнители в порядке исполнительного производства. Если коллекторы превышают полномочия, предусмотренные доверенностью, а также изымают имущество, немедленно прекратите с ними общение и вызовите полицию.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7. Не рекомендуется оправдываться, высказывать какие бы то ни было эмоции. Внимательно выслушайте все, что говорят коллекторы. Все необходимые документы добросовестные коллекторы вам оставят.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b/>
          <w:bCs/>
          <w:i/>
          <w:iCs/>
          <w:color w:val="333333"/>
          <w:sz w:val="13"/>
          <w:szCs w:val="13"/>
          <w:lang w:eastAsia="ru-RU"/>
        </w:rPr>
        <w:t>Обратите внимание!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i/>
          <w:iCs/>
          <w:color w:val="333333"/>
          <w:sz w:val="13"/>
          <w:szCs w:val="13"/>
          <w:lang w:eastAsia="ru-RU"/>
        </w:rPr>
        <w:t>Ни в коем случае не подписывайте какие-либо документы, предъявленные коллекторами, не показав их юристу.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8. Если коллекторы ведут себя агрессивно, угрожают, унижают, оскорбляют, </w:t>
      </w:r>
      <w:proofErr w:type="gram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хамят</w:t>
      </w:r>
      <w:proofErr w:type="gram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и т.п., постарайтесь привлечь внимание соседей, прохожих и немедленно вызовите полицию. Как правило, к моменту приезда полиции коллекторы уезжают, но вы все равно вправе написать заявление. Указанные действия коллекторов могут повлечь административный штраф, а также уголовную ответственность по</w:t>
      </w:r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hyperlink r:id="rId8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ст. 119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"Угроза убийством или причинением тяжкого вреда здоровью" УК РФ.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Материал подготовлен при содействии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юриста коммерческого банка</w:t>
      </w:r>
    </w:p>
    <w:p w:rsidR="004D347A" w:rsidRDefault="004D347A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Журавлевой Е.В.</w:t>
      </w:r>
    </w:p>
    <w:p w:rsidR="005B0FF0" w:rsidRDefault="005B0FF0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</w:p>
    <w:p w:rsidR="005B0FF0" w:rsidRDefault="005B0FF0" w:rsidP="005B0FF0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Сайт НАПКА жалоба форма </w:t>
      </w:r>
      <w:hyperlink r:id="rId9" w:history="1">
        <w:r w:rsidRPr="007811B9">
          <w:rPr>
            <w:rStyle w:val="a4"/>
            <w:rFonts w:ascii="Helvetica" w:eastAsia="Times New Roman" w:hAnsi="Helvetica" w:cs="Helvetica"/>
            <w:sz w:val="13"/>
            <w:szCs w:val="13"/>
            <w:lang w:eastAsia="ru-RU"/>
          </w:rPr>
          <w:t>http://www.napca.ru/discussion/complaints/</w:t>
        </w:r>
      </w:hyperlink>
    </w:p>
    <w:p w:rsidR="005B0FF0" w:rsidRPr="004D347A" w:rsidRDefault="005B0FF0" w:rsidP="005B0FF0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</w:p>
    <w:p w:rsidR="003B7601" w:rsidRDefault="003B7601"/>
    <w:sectPr w:rsidR="003B7601" w:rsidSect="004D3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D347A"/>
    <w:rsid w:val="000F11DC"/>
    <w:rsid w:val="003B7601"/>
    <w:rsid w:val="004D347A"/>
    <w:rsid w:val="005B0FF0"/>
    <w:rsid w:val="00B51CFD"/>
    <w:rsid w:val="00DE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4D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4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3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uka.consultant.ru/cons_doc_LAW_162812/?dst=1006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zbuka.consultant.ru/cons_doc_LAW_2875/?dst=100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zbuka.consultant.ru/cons_doc_LAW_166040/?dst=100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zbuka.consultant.ru/cons_doc_LAW_166040/?dst=10018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zbuka.consultant.ru/cons_doc_LAW_166040/?dst=100184" TargetMode="External"/><Relationship Id="rId9" Type="http://schemas.openxmlformats.org/officeDocument/2006/relationships/hyperlink" Target="http://www.napca.ru/discussion/complai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2014-10-14T11:00:00Z</dcterms:created>
  <dcterms:modified xsi:type="dcterms:W3CDTF">2015-03-06T13:48:00Z</dcterms:modified>
</cp:coreProperties>
</file>