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32" w:rsidRPr="00A96832" w:rsidRDefault="00A96832" w:rsidP="00A96832">
      <w:pPr>
        <w:spacing w:after="206" w:line="242" w:lineRule="atLeast"/>
        <w:outlineLvl w:val="1"/>
        <w:rPr>
          <w:rFonts w:ascii="Arial" w:eastAsia="Times New Roman" w:hAnsi="Arial" w:cs="Arial"/>
          <w:b/>
          <w:bCs/>
          <w:color w:val="4D4D4D"/>
          <w:lang w:eastAsia="ru-RU"/>
        </w:rPr>
      </w:pPr>
      <w:r w:rsidRPr="00A96832">
        <w:rPr>
          <w:rFonts w:ascii="Arial" w:eastAsia="Times New Roman" w:hAnsi="Arial" w:cs="Arial"/>
          <w:b/>
          <w:bCs/>
          <w:color w:val="4D4D4D"/>
          <w:lang w:eastAsia="ru-RU"/>
        </w:rPr>
        <w:t>Постановление Правительства Москвы от 2 июля 2013 г. N 428-ПП "О порядке установки ограждений на придомовых территориях в городе Москве"</w:t>
      </w:r>
    </w:p>
    <w:p w:rsidR="00A96832" w:rsidRPr="00A96832" w:rsidRDefault="00A96832" w:rsidP="00A96832">
      <w:pPr>
        <w:spacing w:after="145"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22 июля 2013</w:t>
      </w:r>
    </w:p>
    <w:p w:rsidR="00A96832" w:rsidRPr="00A96832" w:rsidRDefault="00A96832" w:rsidP="00A96832">
      <w:pPr>
        <w:spacing w:after="206" w:line="206" w:lineRule="atLeast"/>
        <w:rPr>
          <w:rFonts w:ascii="Arial" w:eastAsia="Times New Roman" w:hAnsi="Arial" w:cs="Arial"/>
          <w:color w:val="000000"/>
          <w:sz w:val="17"/>
          <w:szCs w:val="17"/>
          <w:lang w:eastAsia="ru-RU"/>
        </w:rPr>
      </w:pPr>
      <w:bookmarkStart w:id="0" w:name="0"/>
      <w:bookmarkEnd w:id="0"/>
      <w:r w:rsidRPr="00A96832">
        <w:rPr>
          <w:rFonts w:ascii="Arial" w:eastAsia="Times New Roman" w:hAnsi="Arial" w:cs="Arial"/>
          <w:color w:val="000000"/>
          <w:sz w:val="17"/>
          <w:szCs w:val="17"/>
          <w:lang w:eastAsia="ru-RU"/>
        </w:rPr>
        <w:t>В целях повышения уровня благоустройства придомовых территорий в городе Москве, а также обеспечения комфортной городской среды проживания Правительство Москвы постановляет:</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 Утвердить Порядок установки ограждений на придомовых территориях в городе Москве (</w:t>
      </w:r>
      <w:hyperlink r:id="rId4" w:anchor="1000" w:history="1">
        <w:r w:rsidRPr="00A96832">
          <w:rPr>
            <w:rFonts w:ascii="Arial" w:eastAsia="Times New Roman" w:hAnsi="Arial" w:cs="Arial"/>
            <w:color w:val="2060A4"/>
            <w:sz w:val="17"/>
            <w:u w:val="single"/>
            <w:lang w:eastAsia="ru-RU"/>
          </w:rPr>
          <w:t>приложение</w:t>
        </w:r>
      </w:hyperlink>
      <w:r w:rsidRPr="00A96832">
        <w:rPr>
          <w:rFonts w:ascii="Arial" w:eastAsia="Times New Roman" w:hAnsi="Arial" w:cs="Arial"/>
          <w:color w:val="000000"/>
          <w:sz w:val="17"/>
          <w:szCs w:val="17"/>
          <w:lang w:eastAsia="ru-RU"/>
        </w:rPr>
        <w:t>).</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2. </w:t>
      </w:r>
      <w:proofErr w:type="gramStart"/>
      <w:r w:rsidRPr="00A96832">
        <w:rPr>
          <w:rFonts w:ascii="Arial" w:eastAsia="Times New Roman" w:hAnsi="Arial" w:cs="Arial"/>
          <w:color w:val="000000"/>
          <w:sz w:val="17"/>
          <w:szCs w:val="17"/>
          <w:lang w:eastAsia="ru-RU"/>
        </w:rPr>
        <w:t>Контроль за</w:t>
      </w:r>
      <w:proofErr w:type="gramEnd"/>
      <w:r w:rsidRPr="00A96832">
        <w:rPr>
          <w:rFonts w:ascii="Arial" w:eastAsia="Times New Roman" w:hAnsi="Arial" w:cs="Arial"/>
          <w:color w:val="000000"/>
          <w:sz w:val="17"/>
          <w:szCs w:val="17"/>
          <w:lang w:eastAsia="ru-RU"/>
        </w:rPr>
        <w:t xml:space="preserve"> выполнением настоящего постановления возложить на исполняющего обязанности заместителя Мэра Москвы в Правительстве Москвы по вопросам </w:t>
      </w:r>
      <w:proofErr w:type="spellStart"/>
      <w:r w:rsidRPr="00A96832">
        <w:rPr>
          <w:rFonts w:ascii="Arial" w:eastAsia="Times New Roman" w:hAnsi="Arial" w:cs="Arial"/>
          <w:color w:val="000000"/>
          <w:sz w:val="17"/>
          <w:szCs w:val="17"/>
          <w:lang w:eastAsia="ru-RU"/>
        </w:rPr>
        <w:t>имущественно-земельных</w:t>
      </w:r>
      <w:proofErr w:type="spellEnd"/>
      <w:r w:rsidRPr="00A96832">
        <w:rPr>
          <w:rFonts w:ascii="Arial" w:eastAsia="Times New Roman" w:hAnsi="Arial" w:cs="Arial"/>
          <w:color w:val="000000"/>
          <w:sz w:val="17"/>
          <w:szCs w:val="17"/>
          <w:lang w:eastAsia="ru-RU"/>
        </w:rPr>
        <w:t xml:space="preserve"> отношений </w:t>
      </w:r>
      <w:proofErr w:type="spellStart"/>
      <w:r w:rsidRPr="00A96832">
        <w:rPr>
          <w:rFonts w:ascii="Arial" w:eastAsia="Times New Roman" w:hAnsi="Arial" w:cs="Arial"/>
          <w:color w:val="000000"/>
          <w:sz w:val="17"/>
          <w:szCs w:val="17"/>
          <w:lang w:eastAsia="ru-RU"/>
        </w:rPr>
        <w:t>Сергунину</w:t>
      </w:r>
      <w:proofErr w:type="spellEnd"/>
      <w:r w:rsidRPr="00A96832">
        <w:rPr>
          <w:rFonts w:ascii="Arial" w:eastAsia="Times New Roman" w:hAnsi="Arial" w:cs="Arial"/>
          <w:color w:val="000000"/>
          <w:sz w:val="17"/>
          <w:szCs w:val="17"/>
          <w:lang w:eastAsia="ru-RU"/>
        </w:rPr>
        <w:t> Н.А., исполняющего обязанности заместителя Мэра Москвы в Правительстве Москвы по вопросам жилищно-коммунального хозяйства и благоустройства Бирюкова П.П.</w:t>
      </w:r>
    </w:p>
    <w:p w:rsidR="00A96832" w:rsidRPr="00A96832" w:rsidRDefault="00A96832" w:rsidP="00A96832">
      <w:pPr>
        <w:spacing w:after="206" w:line="218" w:lineRule="atLeast"/>
        <w:outlineLvl w:val="2"/>
        <w:rPr>
          <w:rFonts w:ascii="Arial" w:eastAsia="Times New Roman" w:hAnsi="Arial" w:cs="Arial"/>
          <w:b/>
          <w:bCs/>
          <w:color w:val="333333"/>
          <w:sz w:val="21"/>
          <w:szCs w:val="21"/>
          <w:lang w:eastAsia="ru-RU"/>
        </w:rPr>
      </w:pPr>
      <w:r w:rsidRPr="00A96832">
        <w:rPr>
          <w:rFonts w:ascii="Arial" w:eastAsia="Times New Roman" w:hAnsi="Arial" w:cs="Arial"/>
          <w:b/>
          <w:bCs/>
          <w:color w:val="333333"/>
          <w:sz w:val="21"/>
          <w:szCs w:val="21"/>
          <w:lang w:eastAsia="ru-RU"/>
        </w:rPr>
        <w:t>Порядок</w:t>
      </w:r>
      <w:r w:rsidRPr="00A96832">
        <w:rPr>
          <w:rFonts w:ascii="Arial" w:eastAsia="Times New Roman" w:hAnsi="Arial" w:cs="Arial"/>
          <w:b/>
          <w:bCs/>
          <w:color w:val="333333"/>
          <w:sz w:val="21"/>
          <w:szCs w:val="21"/>
          <w:lang w:eastAsia="ru-RU"/>
        </w:rPr>
        <w:br/>
        <w:t>установки ограждений на придомовых территориях в городе Москве</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 Настоящий Порядок регулирует правоотношения, связанные с установкой ограждений на придомовых территориях многоквартирных домов в городе Москве и их демонтажем.</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2. Для целей настоящего Порядка под ограждениями понимаются устройства регулирования въезда и (или) выезда на придомовую территорию транспортных средств (далее - ограждающее устройство).</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3. Установка ограждающих устройств осуществляется по решению собственников помещений в многоквартирном доме, принятому на общем собрании таких собственников помещений в многоквартирном доме.</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4. В случае</w:t>
      </w:r>
      <w:proofErr w:type="gramStart"/>
      <w:r w:rsidRPr="00A96832">
        <w:rPr>
          <w:rFonts w:ascii="Arial" w:eastAsia="Times New Roman" w:hAnsi="Arial" w:cs="Arial"/>
          <w:color w:val="000000"/>
          <w:sz w:val="17"/>
          <w:szCs w:val="17"/>
          <w:lang w:eastAsia="ru-RU"/>
        </w:rPr>
        <w:t>,</w:t>
      </w:r>
      <w:proofErr w:type="gramEnd"/>
      <w:r w:rsidRPr="00A96832">
        <w:rPr>
          <w:rFonts w:ascii="Arial" w:eastAsia="Times New Roman" w:hAnsi="Arial" w:cs="Arial"/>
          <w:color w:val="000000"/>
          <w:sz w:val="17"/>
          <w:szCs w:val="17"/>
          <w:lang w:eastAsia="ru-RU"/>
        </w:rPr>
        <w:t xml:space="preserve"> если ограждающее устройство устанавливается для регулирования въезда и (или) выезда транспортных средств на придомовые территории двух и более многоквартирных домов, то установка таких устройств осуществляется на основании принятых на общих собраниях решений собственников помещений всех таких многоквартирных домов.</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5. В решении общего собрания указываются сведения о лице, уполномоченном на представление интересов собственников помещений в многоквартирном доме по вопросам, связанным с установкой ограждающих устройств и их демонтажем (далее - уполномоченное собственниками лицо).</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6. Въезд на придомовую территорию транспортных средств собственников помещений в многоквартирном доме и иных лиц осуществляется в порядке, установленном общим собранием собственников помещений в многоквартирном доме.</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7. Решение общего собрания собственников помещений в многоквартирном доме с приложением проекта размещения ограждающего устройства, в котором указывается место размещения, тип, размер, внешний вид ограждающего устройства, направляется уполномоченным собственниками лицом для согласования </w:t>
      </w:r>
      <w:r w:rsidRPr="00A96832">
        <w:rPr>
          <w:rFonts w:ascii="Arial" w:eastAsia="Times New Roman" w:hAnsi="Arial" w:cs="Arial"/>
          <w:b/>
          <w:color w:val="000000"/>
          <w:sz w:val="17"/>
          <w:szCs w:val="17"/>
          <w:lang w:eastAsia="ru-RU"/>
        </w:rPr>
        <w:t>в совет депутатов муниципального округа, на территории которого планируется размещение соответствующего ограждающего устройства</w:t>
      </w:r>
      <w:r w:rsidRPr="00A96832">
        <w:rPr>
          <w:rFonts w:ascii="Arial" w:eastAsia="Times New Roman" w:hAnsi="Arial" w:cs="Arial"/>
          <w:color w:val="000000"/>
          <w:sz w:val="17"/>
          <w:szCs w:val="17"/>
          <w:lang w:eastAsia="ru-RU"/>
        </w:rPr>
        <w:t xml:space="preserve"> (далее - совет депутатов).</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8.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 (</w:t>
      </w:r>
      <w:hyperlink r:id="rId5" w:anchor="7" w:history="1">
        <w:r w:rsidRPr="00A96832">
          <w:rPr>
            <w:rFonts w:ascii="Arial" w:eastAsia="Times New Roman" w:hAnsi="Arial" w:cs="Arial"/>
            <w:color w:val="2060A4"/>
            <w:sz w:val="17"/>
            <w:u w:val="single"/>
            <w:lang w:eastAsia="ru-RU"/>
          </w:rPr>
          <w:t>п. 7</w:t>
        </w:r>
      </w:hyperlink>
      <w:r w:rsidRPr="00A96832">
        <w:rPr>
          <w:rFonts w:ascii="Arial" w:eastAsia="Times New Roman" w:hAnsi="Arial" w:cs="Arial"/>
          <w:color w:val="000000"/>
          <w:sz w:val="17"/>
          <w:szCs w:val="17"/>
          <w:lang w:eastAsia="ru-RU"/>
        </w:rPr>
        <w:t>).</w:t>
      </w:r>
    </w:p>
    <w:p w:rsidR="00A96832" w:rsidRPr="00A96832" w:rsidRDefault="00A96832" w:rsidP="00A96832">
      <w:pPr>
        <w:spacing w:after="206" w:line="206" w:lineRule="atLeast"/>
        <w:rPr>
          <w:rFonts w:ascii="Arial" w:eastAsia="Times New Roman" w:hAnsi="Arial" w:cs="Arial"/>
          <w:b/>
          <w:color w:val="000000"/>
          <w:sz w:val="17"/>
          <w:szCs w:val="17"/>
          <w:lang w:eastAsia="ru-RU"/>
        </w:rPr>
      </w:pPr>
      <w:r w:rsidRPr="00A96832">
        <w:rPr>
          <w:rFonts w:ascii="Arial" w:eastAsia="Times New Roman" w:hAnsi="Arial" w:cs="Arial"/>
          <w:color w:val="000000"/>
          <w:sz w:val="17"/>
          <w:szCs w:val="17"/>
          <w:lang w:eastAsia="ru-RU"/>
        </w:rPr>
        <w:t xml:space="preserve">9. </w:t>
      </w:r>
      <w:r w:rsidRPr="00A96832">
        <w:rPr>
          <w:rFonts w:ascii="Arial" w:eastAsia="Times New Roman" w:hAnsi="Arial" w:cs="Arial"/>
          <w:b/>
          <w:color w:val="000000"/>
          <w:sz w:val="17"/>
          <w:szCs w:val="17"/>
          <w:lang w:eastAsia="ru-RU"/>
        </w:rPr>
        <w:t>Основаниями для отказа в согласовании советом депутатов установки ограждающего устройства являются:</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9.1. </w:t>
      </w:r>
      <w:r w:rsidRPr="00A96832">
        <w:rPr>
          <w:rFonts w:ascii="Arial" w:eastAsia="Times New Roman" w:hAnsi="Arial" w:cs="Arial"/>
          <w:b/>
          <w:color w:val="000000"/>
          <w:sz w:val="17"/>
          <w:szCs w:val="17"/>
          <w:lang w:eastAsia="ru-RU"/>
        </w:rPr>
        <w:t>Несоблюдение требований по обеспечению круглосуточного и беспрепятственного проезда на придомовую территорию</w:t>
      </w:r>
      <w:r w:rsidRPr="00A96832">
        <w:rPr>
          <w:rFonts w:ascii="Arial" w:eastAsia="Times New Roman" w:hAnsi="Arial" w:cs="Arial"/>
          <w:color w:val="000000"/>
          <w:sz w:val="17"/>
          <w:szCs w:val="17"/>
          <w:lang w:eastAsia="ru-RU"/>
        </w:rPr>
        <w:t xml:space="preserve"> пожарной техники, транспортных сре</w:t>
      </w:r>
      <w:proofErr w:type="gramStart"/>
      <w:r w:rsidRPr="00A96832">
        <w:rPr>
          <w:rFonts w:ascii="Arial" w:eastAsia="Times New Roman" w:hAnsi="Arial" w:cs="Arial"/>
          <w:color w:val="000000"/>
          <w:sz w:val="17"/>
          <w:szCs w:val="17"/>
          <w:lang w:eastAsia="ru-RU"/>
        </w:rPr>
        <w:t>дств пр</w:t>
      </w:r>
      <w:proofErr w:type="gramEnd"/>
      <w:r w:rsidRPr="00A96832">
        <w:rPr>
          <w:rFonts w:ascii="Arial" w:eastAsia="Times New Roman" w:hAnsi="Arial" w:cs="Arial"/>
          <w:color w:val="000000"/>
          <w:sz w:val="17"/>
          <w:szCs w:val="17"/>
          <w:lang w:eastAsia="ru-RU"/>
        </w:rPr>
        <w:t>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9.2. </w:t>
      </w:r>
      <w:r w:rsidRPr="00A96832">
        <w:rPr>
          <w:rFonts w:ascii="Arial" w:eastAsia="Times New Roman" w:hAnsi="Arial" w:cs="Arial"/>
          <w:b/>
          <w:color w:val="000000"/>
          <w:sz w:val="17"/>
          <w:szCs w:val="17"/>
          <w:lang w:eastAsia="ru-RU"/>
        </w:rPr>
        <w:t>Создание ограждающим устройством препятствий или ограничений</w:t>
      </w:r>
      <w:r w:rsidRPr="00A96832">
        <w:rPr>
          <w:rFonts w:ascii="Arial" w:eastAsia="Times New Roman" w:hAnsi="Arial" w:cs="Arial"/>
          <w:color w:val="000000"/>
          <w:sz w:val="17"/>
          <w:szCs w:val="17"/>
          <w:lang w:eastAsia="ru-RU"/>
        </w:rPr>
        <w:t xml:space="preserve"> проходу пешеходов и (или) проезду транспортных средств на территории общего пользования, определяемые в соответствии с законодательством Российской Федерации о градостроительной деятельности (далее - территории общего пользования).</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10. Решение совета депутатов о согласовании либо отказе в согласовании установки ограждающего устройства направляется уполномоченному собственниками лицу не позднее 5 рабочих дней с момента его принятия.</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11. Установка и содержание ограждающих устройств осуществляется за счет собственных средств собственников помещений в многоквартирном доме.</w:t>
      </w:r>
    </w:p>
    <w:p w:rsidR="00A96832" w:rsidRPr="00A96832" w:rsidRDefault="00A96832" w:rsidP="00A96832">
      <w:pPr>
        <w:spacing w:after="206" w:line="206" w:lineRule="atLeast"/>
        <w:rPr>
          <w:rFonts w:ascii="Arial" w:eastAsia="Times New Roman" w:hAnsi="Arial" w:cs="Arial"/>
          <w:b/>
          <w:color w:val="000000"/>
          <w:sz w:val="17"/>
          <w:szCs w:val="17"/>
          <w:lang w:eastAsia="ru-RU"/>
        </w:rPr>
      </w:pPr>
      <w:r w:rsidRPr="00A96832">
        <w:rPr>
          <w:rFonts w:ascii="Arial" w:eastAsia="Times New Roman" w:hAnsi="Arial" w:cs="Arial"/>
          <w:color w:val="000000"/>
          <w:sz w:val="17"/>
          <w:szCs w:val="17"/>
          <w:lang w:eastAsia="ru-RU"/>
        </w:rPr>
        <w:t xml:space="preserve">12. </w:t>
      </w:r>
      <w:proofErr w:type="gramStart"/>
      <w:r w:rsidRPr="00A96832">
        <w:rPr>
          <w:rFonts w:ascii="Arial" w:eastAsia="Times New Roman" w:hAnsi="Arial" w:cs="Arial"/>
          <w:b/>
          <w:color w:val="000000"/>
          <w:sz w:val="17"/>
          <w:szCs w:val="17"/>
          <w:lang w:eastAsia="ru-RU"/>
        </w:rPr>
        <w:t xml:space="preserve">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 транспортных средств правоохранительных </w:t>
      </w:r>
      <w:r w:rsidRPr="00A96832">
        <w:rPr>
          <w:rFonts w:ascii="Arial" w:eastAsia="Times New Roman" w:hAnsi="Arial" w:cs="Arial"/>
          <w:b/>
          <w:color w:val="000000"/>
          <w:sz w:val="17"/>
          <w:szCs w:val="17"/>
          <w:lang w:eastAsia="ru-RU"/>
        </w:rPr>
        <w:lastRenderedPageBreak/>
        <w:t>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w:t>
      </w:r>
      <w:proofErr w:type="gramEnd"/>
    </w:p>
    <w:p w:rsidR="00A96832" w:rsidRPr="00A96832" w:rsidRDefault="00A96832" w:rsidP="00A96832">
      <w:pPr>
        <w:spacing w:after="206" w:line="206" w:lineRule="atLeast"/>
        <w:rPr>
          <w:rFonts w:ascii="Arial" w:eastAsia="Times New Roman" w:hAnsi="Arial" w:cs="Arial"/>
          <w:b/>
          <w:color w:val="000000"/>
          <w:sz w:val="17"/>
          <w:szCs w:val="17"/>
          <w:lang w:eastAsia="ru-RU"/>
        </w:rPr>
      </w:pPr>
      <w:r w:rsidRPr="00A96832">
        <w:rPr>
          <w:rFonts w:ascii="Arial" w:eastAsia="Times New Roman" w:hAnsi="Arial" w:cs="Arial"/>
          <w:color w:val="000000"/>
          <w:sz w:val="17"/>
          <w:szCs w:val="17"/>
          <w:lang w:eastAsia="ru-RU"/>
        </w:rPr>
        <w:t xml:space="preserve">13. </w:t>
      </w:r>
      <w:r w:rsidRPr="00A96832">
        <w:rPr>
          <w:rFonts w:ascii="Arial" w:eastAsia="Times New Roman" w:hAnsi="Arial" w:cs="Arial"/>
          <w:b/>
          <w:color w:val="000000"/>
          <w:sz w:val="17"/>
          <w:szCs w:val="17"/>
          <w:lang w:eastAsia="ru-RU"/>
        </w:rPr>
        <w:t>Запрещается установка и эксплуатация ограждающих устройств, препятствующих или ограничивающих проход пешеходов и проезд транспортных средств на территории общего пользования.</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14. В случае нарушения требований настоящего </w:t>
      </w:r>
      <w:proofErr w:type="gramStart"/>
      <w:r w:rsidRPr="00A96832">
        <w:rPr>
          <w:rFonts w:ascii="Arial" w:eastAsia="Times New Roman" w:hAnsi="Arial" w:cs="Arial"/>
          <w:color w:val="000000"/>
          <w:sz w:val="17"/>
          <w:szCs w:val="17"/>
          <w:lang w:eastAsia="ru-RU"/>
        </w:rPr>
        <w:t>Порядка</w:t>
      </w:r>
      <w:proofErr w:type="gramEnd"/>
      <w:r w:rsidRPr="00A96832">
        <w:rPr>
          <w:rFonts w:ascii="Arial" w:eastAsia="Times New Roman" w:hAnsi="Arial" w:cs="Arial"/>
          <w:color w:val="000000"/>
          <w:sz w:val="17"/>
          <w:szCs w:val="17"/>
          <w:lang w:eastAsia="ru-RU"/>
        </w:rPr>
        <w:t xml:space="preserve"> при установке ограждающих устройств ограждающие устройства подлежат демонтажу и перемещению на специально организованные для хранения площадки (далее - демонтаж) в порядке и на условиях, аналогичных порядку, установленному для освобождения земельных участков от незаконно размещенных на них объектов, не являющихся объектами капитального строительства.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15. </w:t>
      </w:r>
      <w:proofErr w:type="gramStart"/>
      <w:r w:rsidRPr="00A96832">
        <w:rPr>
          <w:rFonts w:ascii="Arial" w:eastAsia="Times New Roman" w:hAnsi="Arial" w:cs="Arial"/>
          <w:color w:val="000000"/>
          <w:sz w:val="17"/>
          <w:szCs w:val="17"/>
          <w:lang w:eastAsia="ru-RU"/>
        </w:rPr>
        <w:t>Ограждающие устройства демонтируются в случае, если они препятствуют проведению работ по благоустройству территории, строительству (реконструкции) и (или) капитальному ремонту объектов капитального строительства, осуществляемых за счет средств бюджета города Москвы, при условии компенсации затрат собственников помещений в многоквартирном доме на приобретение и установку такого ограждающего устройства, определяемых на основании отчета независимой оценки.</w:t>
      </w:r>
      <w:proofErr w:type="gramEnd"/>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16. Выплата компенсации (</w:t>
      </w:r>
      <w:hyperlink r:id="rId6" w:anchor="15" w:history="1">
        <w:r w:rsidRPr="00A96832">
          <w:rPr>
            <w:rFonts w:ascii="Arial" w:eastAsia="Times New Roman" w:hAnsi="Arial" w:cs="Arial"/>
            <w:color w:val="2060A4"/>
            <w:sz w:val="17"/>
            <w:u w:val="single"/>
            <w:lang w:eastAsia="ru-RU"/>
          </w:rPr>
          <w:t>п. 15</w:t>
        </w:r>
      </w:hyperlink>
      <w:r w:rsidRPr="00A96832">
        <w:rPr>
          <w:rFonts w:ascii="Arial" w:eastAsia="Times New Roman" w:hAnsi="Arial" w:cs="Arial"/>
          <w:color w:val="000000"/>
          <w:sz w:val="17"/>
          <w:szCs w:val="17"/>
          <w:lang w:eastAsia="ru-RU"/>
        </w:rPr>
        <w:t>) производится государственным заказчиком работ по благоустройству территории или государственным заказчиком работ по строительству (реконструкции) и (или) капитальному ремонту объектов капитального строительства за счет средств бюджета города Москвы, выделенных на проведение указанных работ (далее - государственный заказчик), на основании документов (п. 18).</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17. </w:t>
      </w:r>
      <w:proofErr w:type="gramStart"/>
      <w:r w:rsidRPr="00A96832">
        <w:rPr>
          <w:rFonts w:ascii="Arial" w:eastAsia="Times New Roman" w:hAnsi="Arial" w:cs="Arial"/>
          <w:color w:val="000000"/>
          <w:sz w:val="17"/>
          <w:szCs w:val="17"/>
          <w:lang w:eastAsia="ru-RU"/>
        </w:rPr>
        <w:t>В случаях, предусмотренных</w:t>
      </w:r>
      <w:r w:rsidRPr="00A96832">
        <w:rPr>
          <w:rFonts w:ascii="Arial" w:eastAsia="Times New Roman" w:hAnsi="Arial" w:cs="Arial"/>
          <w:color w:val="000000"/>
          <w:sz w:val="17"/>
          <w:lang w:eastAsia="ru-RU"/>
        </w:rPr>
        <w:t> </w:t>
      </w:r>
      <w:hyperlink r:id="rId7" w:anchor="15" w:history="1">
        <w:r w:rsidRPr="00A96832">
          <w:rPr>
            <w:rFonts w:ascii="Arial" w:eastAsia="Times New Roman" w:hAnsi="Arial" w:cs="Arial"/>
            <w:color w:val="2060A4"/>
            <w:sz w:val="17"/>
            <w:u w:val="single"/>
            <w:lang w:eastAsia="ru-RU"/>
          </w:rPr>
          <w:t>пунктом 15</w:t>
        </w:r>
      </w:hyperlink>
      <w:r w:rsidRPr="00A96832">
        <w:rPr>
          <w:rFonts w:ascii="Arial" w:eastAsia="Times New Roman" w:hAnsi="Arial" w:cs="Arial"/>
          <w:color w:val="000000"/>
          <w:sz w:val="17"/>
          <w:lang w:eastAsia="ru-RU"/>
        </w:rPr>
        <w:t> </w:t>
      </w:r>
      <w:r w:rsidRPr="00A96832">
        <w:rPr>
          <w:rFonts w:ascii="Arial" w:eastAsia="Times New Roman" w:hAnsi="Arial" w:cs="Arial"/>
          <w:color w:val="000000"/>
          <w:sz w:val="17"/>
          <w:szCs w:val="17"/>
          <w:lang w:eastAsia="ru-RU"/>
        </w:rPr>
        <w:t>настоящего Порядка, государственный заказчик обеспечивает размещение в средствах массовой информации, на официальных сайтах государственного заказчика, префектуры административного округа города Москвы и управы района города Москвы в информационно-телекоммуникационной сети Интернет, досках объявлений префектуры административного округа города Москвы и управы района города Москвы, а также непосредственно на ограждающих устройствах следующей информации:</w:t>
      </w:r>
      <w:proofErr w:type="gramEnd"/>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17.1. О дате проведения работ по демонтажу ограждающего устройства.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17.2. О месте, сроке предоставления и перечне документов, представляемых государственному заказчику в целях выплаты компенсации, предусмотренной</w:t>
      </w:r>
      <w:r w:rsidRPr="00A96832">
        <w:rPr>
          <w:rFonts w:ascii="Arial" w:eastAsia="Times New Roman" w:hAnsi="Arial" w:cs="Arial"/>
          <w:color w:val="000000"/>
          <w:sz w:val="17"/>
          <w:lang w:eastAsia="ru-RU"/>
        </w:rPr>
        <w:t> </w:t>
      </w:r>
      <w:hyperlink r:id="rId8" w:anchor="14" w:history="1">
        <w:r w:rsidRPr="00A96832">
          <w:rPr>
            <w:rFonts w:ascii="Arial" w:eastAsia="Times New Roman" w:hAnsi="Arial" w:cs="Arial"/>
            <w:color w:val="2060A4"/>
            <w:sz w:val="17"/>
            <w:u w:val="single"/>
            <w:lang w:eastAsia="ru-RU"/>
          </w:rPr>
          <w:t>пунктом 14</w:t>
        </w:r>
      </w:hyperlink>
      <w:r w:rsidRPr="00A96832">
        <w:rPr>
          <w:rFonts w:ascii="Arial" w:eastAsia="Times New Roman" w:hAnsi="Arial" w:cs="Arial"/>
          <w:color w:val="000000"/>
          <w:sz w:val="17"/>
          <w:lang w:eastAsia="ru-RU"/>
        </w:rPr>
        <w:t> </w:t>
      </w:r>
      <w:r w:rsidRPr="00A96832">
        <w:rPr>
          <w:rFonts w:ascii="Arial" w:eastAsia="Times New Roman" w:hAnsi="Arial" w:cs="Arial"/>
          <w:color w:val="000000"/>
          <w:sz w:val="17"/>
          <w:szCs w:val="17"/>
          <w:lang w:eastAsia="ru-RU"/>
        </w:rPr>
        <w:t>настоящего Порядка.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18. В качестве документов, являющихся основанием для выплаты компенсации, уполномоченным собственниками лицом представляются:</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18.1. Решение общего собрания собственников помещений в многоквартирном доме об установке ограждающего устройства, согласованное в соответствии с</w:t>
      </w:r>
      <w:r w:rsidRPr="00A96832">
        <w:rPr>
          <w:rFonts w:ascii="Arial" w:eastAsia="Times New Roman" w:hAnsi="Arial" w:cs="Arial"/>
          <w:color w:val="000000"/>
          <w:sz w:val="17"/>
          <w:lang w:eastAsia="ru-RU"/>
        </w:rPr>
        <w:t> </w:t>
      </w:r>
      <w:hyperlink r:id="rId9" w:anchor="6" w:history="1">
        <w:r w:rsidRPr="00A96832">
          <w:rPr>
            <w:rFonts w:ascii="Arial" w:eastAsia="Times New Roman" w:hAnsi="Arial" w:cs="Arial"/>
            <w:color w:val="2060A4"/>
            <w:sz w:val="17"/>
            <w:u w:val="single"/>
            <w:lang w:eastAsia="ru-RU"/>
          </w:rPr>
          <w:t>пунктом 6</w:t>
        </w:r>
      </w:hyperlink>
      <w:r w:rsidRPr="00A96832">
        <w:rPr>
          <w:rFonts w:ascii="Arial" w:eastAsia="Times New Roman" w:hAnsi="Arial" w:cs="Arial"/>
          <w:color w:val="000000"/>
          <w:sz w:val="17"/>
          <w:lang w:eastAsia="ru-RU"/>
        </w:rPr>
        <w:t> </w:t>
      </w:r>
      <w:r w:rsidRPr="00A96832">
        <w:rPr>
          <w:rFonts w:ascii="Arial" w:eastAsia="Times New Roman" w:hAnsi="Arial" w:cs="Arial"/>
          <w:color w:val="000000"/>
          <w:sz w:val="17"/>
          <w:szCs w:val="17"/>
          <w:lang w:eastAsia="ru-RU"/>
        </w:rPr>
        <w:t>настоящего Порядка с советом депутатов.</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18.2. Документы, подтверждающие факт приобретения и (или) установки ограждающего устройства.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18.3. Реквизиты банковского счета уполномоченного собственниками лица для перечисления денежных сре</w:t>
      </w:r>
      <w:proofErr w:type="gramStart"/>
      <w:r w:rsidRPr="00A96832">
        <w:rPr>
          <w:rFonts w:ascii="Arial" w:eastAsia="Times New Roman" w:hAnsi="Arial" w:cs="Arial"/>
          <w:color w:val="000000"/>
          <w:sz w:val="17"/>
          <w:szCs w:val="17"/>
          <w:lang w:eastAsia="ru-RU"/>
        </w:rPr>
        <w:t>дств в к</w:t>
      </w:r>
      <w:proofErr w:type="gramEnd"/>
      <w:r w:rsidRPr="00A96832">
        <w:rPr>
          <w:rFonts w:ascii="Arial" w:eastAsia="Times New Roman" w:hAnsi="Arial" w:cs="Arial"/>
          <w:color w:val="000000"/>
          <w:sz w:val="17"/>
          <w:szCs w:val="17"/>
          <w:lang w:eastAsia="ru-RU"/>
        </w:rPr>
        <w:t>ачестве компенсации за демонтаж ограждающего устройства.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19. Государственный заказчик:</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19.1. Обеспечивает проведение независимой оценки стоимости подлежащего демонтажу ограждающего устройства.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19.2. Осуществляет перечисление на банковский счет (</w:t>
      </w:r>
      <w:hyperlink r:id="rId10" w:anchor="183" w:history="1">
        <w:r w:rsidRPr="00A96832">
          <w:rPr>
            <w:rFonts w:ascii="Arial" w:eastAsia="Times New Roman" w:hAnsi="Arial" w:cs="Arial"/>
            <w:color w:val="2060A4"/>
            <w:sz w:val="17"/>
            <w:u w:val="single"/>
            <w:lang w:eastAsia="ru-RU"/>
          </w:rPr>
          <w:t>п. 18.3</w:t>
        </w:r>
      </w:hyperlink>
      <w:r w:rsidRPr="00A96832">
        <w:rPr>
          <w:rFonts w:ascii="Arial" w:eastAsia="Times New Roman" w:hAnsi="Arial" w:cs="Arial"/>
          <w:color w:val="000000"/>
          <w:sz w:val="17"/>
          <w:szCs w:val="17"/>
          <w:lang w:eastAsia="ru-RU"/>
        </w:rPr>
        <w:t>) денежных сре</w:t>
      </w:r>
      <w:proofErr w:type="gramStart"/>
      <w:r w:rsidRPr="00A96832">
        <w:rPr>
          <w:rFonts w:ascii="Arial" w:eastAsia="Times New Roman" w:hAnsi="Arial" w:cs="Arial"/>
          <w:color w:val="000000"/>
          <w:sz w:val="17"/>
          <w:szCs w:val="17"/>
          <w:lang w:eastAsia="ru-RU"/>
        </w:rPr>
        <w:t>дств в к</w:t>
      </w:r>
      <w:proofErr w:type="gramEnd"/>
      <w:r w:rsidRPr="00A96832">
        <w:rPr>
          <w:rFonts w:ascii="Arial" w:eastAsia="Times New Roman" w:hAnsi="Arial" w:cs="Arial"/>
          <w:color w:val="000000"/>
          <w:sz w:val="17"/>
          <w:szCs w:val="17"/>
          <w:lang w:eastAsia="ru-RU"/>
        </w:rPr>
        <w:t>ачестве компенсации за демонтаж ограждающего устройства в размере, определенном в отчете об оценке подлежащего демонтажу ограждающего устройства.</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20. Размер денежной компенсации, определенный на основании отчета об оценке, может быть обжалован собственниками помещений в многоквартирном доме в соответствии с законодательством Российской Федерации, в том числе в судебном порядке.</w:t>
      </w:r>
    </w:p>
    <w:p w:rsidR="00A96832" w:rsidRPr="00A96832" w:rsidRDefault="00A96832" w:rsidP="00A96832">
      <w:pPr>
        <w:spacing w:after="206" w:line="242" w:lineRule="atLeast"/>
        <w:outlineLvl w:val="1"/>
        <w:rPr>
          <w:rFonts w:ascii="Arial" w:eastAsia="Times New Roman" w:hAnsi="Arial" w:cs="Arial"/>
          <w:b/>
          <w:bCs/>
          <w:color w:val="4D4D4D"/>
          <w:lang w:eastAsia="ru-RU"/>
        </w:rPr>
      </w:pPr>
      <w:bookmarkStart w:id="1" w:name="review"/>
      <w:bookmarkEnd w:id="1"/>
      <w:r w:rsidRPr="00A96832">
        <w:rPr>
          <w:rFonts w:ascii="Arial" w:eastAsia="Times New Roman" w:hAnsi="Arial" w:cs="Arial"/>
          <w:b/>
          <w:bCs/>
          <w:color w:val="4D4D4D"/>
          <w:lang w:eastAsia="ru-RU"/>
        </w:rPr>
        <w:t>Обзор документа</w:t>
      </w:r>
    </w:p>
    <w:p w:rsidR="00A96832" w:rsidRPr="00A96832" w:rsidRDefault="00A96832" w:rsidP="00A96832">
      <w:pPr>
        <w:spacing w:before="206" w:after="206" w:line="240" w:lineRule="auto"/>
        <w:rPr>
          <w:rFonts w:ascii="Times New Roman" w:eastAsia="Times New Roman" w:hAnsi="Times New Roman" w:cs="Times New Roman"/>
          <w:sz w:val="24"/>
          <w:szCs w:val="24"/>
          <w:lang w:eastAsia="ru-RU"/>
        </w:rPr>
      </w:pPr>
      <w:r w:rsidRPr="00A96832">
        <w:rPr>
          <w:rFonts w:ascii="Times New Roman" w:eastAsia="Times New Roman" w:hAnsi="Times New Roman" w:cs="Times New Roman"/>
          <w:sz w:val="24"/>
          <w:szCs w:val="24"/>
          <w:lang w:eastAsia="ru-RU"/>
        </w:rPr>
        <w:pict>
          <v:rect id="_x0000_i1025" style="width:0;height:.6pt" o:hrstd="t" o:hrnoshade="t" o:hr="t" fillcolor="black" stroked="f"/>
        </w:pic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Установка ограждающих устройств, используемых для регулирования въезда на придомовую территорию транспортных средств, осуществляется по решению собственников помещений в многоквартирном доме, принятом на общем собрании. Если ограждающие устройства устанавливаются для регулирования въезда на придомовые территории нескольких многоквартирных домов, то их устанавливают на основании решений собственников всех многоквартирных домов. Установка осуществляется за счет собственных средств собственников помещений в многоквартирном доме.</w:t>
      </w:r>
    </w:p>
    <w:p w:rsidR="00A96832" w:rsidRPr="00A96832" w:rsidRDefault="00A96832" w:rsidP="00A96832">
      <w:pPr>
        <w:spacing w:after="206" w:line="206" w:lineRule="atLeast"/>
        <w:rPr>
          <w:rFonts w:ascii="Arial" w:eastAsia="Times New Roman" w:hAnsi="Arial" w:cs="Arial"/>
          <w:color w:val="000000"/>
          <w:sz w:val="17"/>
          <w:szCs w:val="17"/>
          <w:lang w:eastAsia="ru-RU"/>
        </w:rPr>
      </w:pPr>
      <w:r w:rsidRPr="00A96832">
        <w:rPr>
          <w:rFonts w:ascii="Arial" w:eastAsia="Times New Roman" w:hAnsi="Arial" w:cs="Arial"/>
          <w:color w:val="000000"/>
          <w:sz w:val="17"/>
          <w:szCs w:val="17"/>
          <w:lang w:eastAsia="ru-RU"/>
        </w:rPr>
        <w:t xml:space="preserve">Решение собственников об установке ограждающего устройства направляется в совет депутатов муниципального округа на согласование. В 30-дневный срок совет депутатов должен принять решение о согласовании или об отказе </w:t>
      </w:r>
      <w:r w:rsidRPr="00A96832">
        <w:rPr>
          <w:rFonts w:ascii="Arial" w:eastAsia="Times New Roman" w:hAnsi="Arial" w:cs="Arial"/>
          <w:color w:val="000000"/>
          <w:sz w:val="17"/>
          <w:szCs w:val="17"/>
          <w:lang w:eastAsia="ru-RU"/>
        </w:rPr>
        <w:lastRenderedPageBreak/>
        <w:t>в согласовании. Собственникам может быть отказано в установке ограждающего устройства в случае несоблюдения требований по обеспечению круглосуточного и беспрепятственного проезда на придомовую территорию транспорта правоохранительных органов, скорой помощи, служб МЧС, организаций газового хозяйства и коммунальных служб; создание устройством препятствий проходу пешеходов или подъезду транспорта на территории общего пользования.</w:t>
      </w:r>
    </w:p>
    <w:p w:rsidR="003B7601" w:rsidRDefault="00A96832" w:rsidP="00A96832">
      <w:r w:rsidRPr="00A96832">
        <w:rPr>
          <w:rFonts w:ascii="Arial" w:eastAsia="Times New Roman" w:hAnsi="Arial" w:cs="Arial"/>
          <w:color w:val="000000"/>
          <w:sz w:val="17"/>
          <w:szCs w:val="17"/>
          <w:lang w:eastAsia="ru-RU"/>
        </w:rPr>
        <w:br/>
      </w:r>
    </w:p>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96832"/>
    <w:rsid w:val="003B7601"/>
    <w:rsid w:val="009A419B"/>
    <w:rsid w:val="00A96832"/>
    <w:rsid w:val="00B51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2">
    <w:name w:val="heading 2"/>
    <w:basedOn w:val="a"/>
    <w:link w:val="20"/>
    <w:uiPriority w:val="9"/>
    <w:qFormat/>
    <w:rsid w:val="00A968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68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68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683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96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6832"/>
    <w:rPr>
      <w:color w:val="0000FF"/>
      <w:u w:val="single"/>
    </w:rPr>
  </w:style>
  <w:style w:type="character" w:customStyle="1" w:styleId="apple-converted-space">
    <w:name w:val="apple-converted-space"/>
    <w:basedOn w:val="a0"/>
    <w:rsid w:val="00A96832"/>
  </w:style>
</w:styles>
</file>

<file path=word/webSettings.xml><?xml version="1.0" encoding="utf-8"?>
<w:webSettings xmlns:r="http://schemas.openxmlformats.org/officeDocument/2006/relationships" xmlns:w="http://schemas.openxmlformats.org/wordprocessingml/2006/main">
  <w:divs>
    <w:div w:id="1014648855">
      <w:bodyDiv w:val="1"/>
      <w:marLeft w:val="0"/>
      <w:marRight w:val="0"/>
      <w:marTop w:val="0"/>
      <w:marBottom w:val="0"/>
      <w:divBdr>
        <w:top w:val="none" w:sz="0" w:space="0" w:color="auto"/>
        <w:left w:val="none" w:sz="0" w:space="0" w:color="auto"/>
        <w:bottom w:val="none" w:sz="0" w:space="0" w:color="auto"/>
        <w:right w:val="none" w:sz="0" w:space="0" w:color="auto"/>
      </w:divBdr>
      <w:divsChild>
        <w:div w:id="541333854">
          <w:marLeft w:val="0"/>
          <w:marRight w:val="0"/>
          <w:marTop w:val="0"/>
          <w:marBottom w:val="1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310648/" TargetMode="External"/><Relationship Id="rId3" Type="http://schemas.openxmlformats.org/officeDocument/2006/relationships/webSettings" Target="webSettings.xml"/><Relationship Id="rId7" Type="http://schemas.openxmlformats.org/officeDocument/2006/relationships/hyperlink" Target="http://www.garant.ru/products/ipo/prime/doc/703106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70310648/" TargetMode="External"/><Relationship Id="rId11" Type="http://schemas.openxmlformats.org/officeDocument/2006/relationships/fontTable" Target="fontTable.xml"/><Relationship Id="rId5" Type="http://schemas.openxmlformats.org/officeDocument/2006/relationships/hyperlink" Target="http://www.garant.ru/products/ipo/prime/doc/70310648/" TargetMode="External"/><Relationship Id="rId10" Type="http://schemas.openxmlformats.org/officeDocument/2006/relationships/hyperlink" Target="http://www.garant.ru/products/ipo/prime/doc/70310648/" TargetMode="External"/><Relationship Id="rId4" Type="http://schemas.openxmlformats.org/officeDocument/2006/relationships/hyperlink" Target="http://www.garant.ru/products/ipo/prime/doc/70310648/" TargetMode="External"/><Relationship Id="rId9" Type="http://schemas.openxmlformats.org/officeDocument/2006/relationships/hyperlink" Target="http://www.garant.ru/products/ipo/prime/doc/70310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1428</Words>
  <Characters>8143</Characters>
  <Application>Microsoft Office Word</Application>
  <DocSecurity>0</DocSecurity>
  <Lines>67</Lines>
  <Paragraphs>19</Paragraphs>
  <ScaleCrop>false</ScaleCrop>
  <Company>SPecialiST RePack</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2015-09-07T02:59:00Z</dcterms:created>
  <dcterms:modified xsi:type="dcterms:W3CDTF">2015-09-07T03:59:00Z</dcterms:modified>
</cp:coreProperties>
</file>