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35" w:rsidRDefault="00BF1935">
      <w:pPr>
        <w:pStyle w:val="ConsPlusTitlePage"/>
      </w:pPr>
      <w:bookmarkStart w:id="0" w:name="_GoBack"/>
      <w:bookmarkEnd w:id="0"/>
      <w:r>
        <w:br/>
      </w:r>
    </w:p>
    <w:p w:rsidR="00BF1935" w:rsidRDefault="00BF1935">
      <w:pPr>
        <w:pStyle w:val="ConsPlusTitle"/>
        <w:jc w:val="center"/>
      </w:pPr>
      <w:bookmarkStart w:id="1" w:name="P16"/>
      <w:bookmarkEnd w:id="1"/>
      <w:r>
        <w:t>1.1. Наличные расчеты участников наличных расчетов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r>
        <w:t>Наличные расчеты участников наличных расчетов зависят от источника поступлений наличных денег в их кассу. Существует три источника поступлений наличных денег в кассу:</w:t>
      </w:r>
    </w:p>
    <w:p w:rsidR="00BF1935" w:rsidRDefault="00BF1935">
      <w:pPr>
        <w:pStyle w:val="ConsPlusNormal"/>
        <w:ind w:firstLine="540"/>
        <w:jc w:val="both"/>
      </w:pPr>
      <w:r>
        <w:t xml:space="preserve">- </w:t>
      </w:r>
      <w:hyperlink w:anchor="P23" w:history="1">
        <w:r>
          <w:rPr>
            <w:color w:val="0000FF"/>
          </w:rPr>
          <w:t>продажа</w:t>
        </w:r>
      </w:hyperlink>
      <w:r>
        <w:t xml:space="preserve"> товаров, выполнение работ и (или) оказание услуг, страховые премии;</w:t>
      </w:r>
    </w:p>
    <w:p w:rsidR="00BF1935" w:rsidRDefault="00BF1935">
      <w:pPr>
        <w:pStyle w:val="ConsPlusNormal"/>
        <w:ind w:firstLine="540"/>
        <w:jc w:val="both"/>
      </w:pPr>
      <w:r>
        <w:t xml:space="preserve">- </w:t>
      </w:r>
      <w:hyperlink w:anchor="P49" w:history="1">
        <w:r>
          <w:rPr>
            <w:color w:val="0000FF"/>
          </w:rPr>
          <w:t>банковский</w:t>
        </w:r>
      </w:hyperlink>
      <w:r>
        <w:t xml:space="preserve"> счет;</w:t>
      </w:r>
    </w:p>
    <w:p w:rsidR="00BF1935" w:rsidRDefault="00BF1935">
      <w:pPr>
        <w:pStyle w:val="ConsPlusNormal"/>
        <w:ind w:firstLine="540"/>
        <w:jc w:val="both"/>
      </w:pPr>
      <w:r>
        <w:t xml:space="preserve">- </w:t>
      </w:r>
      <w:hyperlink w:anchor="P62" w:history="1">
        <w:r>
          <w:rPr>
            <w:color w:val="0000FF"/>
          </w:rPr>
          <w:t>другие</w:t>
        </w:r>
      </w:hyperlink>
      <w:r>
        <w:t xml:space="preserve"> поступления.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bookmarkStart w:id="2" w:name="P23"/>
      <w:bookmarkEnd w:id="2"/>
      <w:r>
        <w:rPr>
          <w:b/>
        </w:rPr>
        <w:t>Наличные расчеты деньгами, поступившими в кассу участника наличных расчетов за счет продажи товаров, выполнения работ и (или) оказания услуг, получения страховых премий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r>
        <w:t xml:space="preserve">Участники наличных расчетов </w:t>
      </w:r>
      <w:hyperlink r:id="rId4" w:history="1">
        <w:r>
          <w:rPr>
            <w:color w:val="0000FF"/>
          </w:rPr>
          <w:t>не вправе</w:t>
        </w:r>
      </w:hyperlink>
      <w:r>
        <w:t xml:space="preserve"> расходовать поступившие в их кассы наличные деньги в валюте РФ за проданные ими товары, выполненные ими работы и (или) оказанные ими услуги, а также полученные в качестве страховых премий.</w:t>
      </w:r>
    </w:p>
    <w:p w:rsidR="00BF1935" w:rsidRDefault="00BF1935">
      <w:pPr>
        <w:pStyle w:val="ConsPlusNormal"/>
        <w:ind w:firstLine="540"/>
        <w:jc w:val="both"/>
      </w:pPr>
      <w:r>
        <w:t>Исключения составляют следующие цели расходования таких наличных денег:</w:t>
      </w:r>
    </w:p>
    <w:p w:rsidR="00BF1935" w:rsidRDefault="00BF1935">
      <w:pPr>
        <w:pStyle w:val="ConsPlusNormal"/>
        <w:ind w:firstLine="540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8"/>
        <w:gridCol w:w="3600"/>
      </w:tblGrid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center"/>
            </w:pPr>
            <w:r>
              <w:rPr>
                <w:b/>
              </w:rPr>
              <w:t>Допускаемая цель расходования наличных денег в валюте РФ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center"/>
            </w:pPr>
            <w:r>
              <w:rPr>
                <w:b/>
              </w:rPr>
              <w:t xml:space="preserve">Предельный размер наличных расчетов </w:t>
            </w:r>
            <w:hyperlink w:anchor="P46" w:history="1">
              <w:r>
                <w:rPr>
                  <w:b/>
                  <w:color w:val="0000FF"/>
                </w:rPr>
                <w:t>&lt;*&gt;</w:t>
              </w:r>
            </w:hyperlink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выплаты работникам, включенные в фонд заработной платы, и выплаты социального характера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Без </w:t>
            </w:r>
            <w:hyperlink r:id="rId5" w:history="1">
              <w:r>
                <w:rPr>
                  <w:color w:val="0000FF"/>
                </w:rPr>
                <w:t>ограничений</w:t>
              </w:r>
            </w:hyperlink>
            <w:r>
              <w:t xml:space="preserve"> по сумме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выплаты страховых возмещений (страховых сумм) по договорам страхования физическим лицам, уплатившим ранее страховые премии наличными деньгами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выдача наличных денег на личные (потребительские) нужды индивидуального предпринимателя, не связанные с осуществлением им предпринимательской деятельности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Без </w:t>
            </w:r>
            <w:hyperlink r:id="rId6" w:history="1">
              <w:r>
                <w:rPr>
                  <w:color w:val="0000FF"/>
                </w:rPr>
                <w:t>ограничений</w:t>
              </w:r>
            </w:hyperlink>
            <w:r>
              <w:t xml:space="preserve"> по сумме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оплата товаров (кроме ценных бумаг), работ, услуг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выдача наличных денег </w:t>
            </w:r>
            <w:hyperlink r:id="rId7" w:history="1">
              <w:r>
                <w:rPr>
                  <w:color w:val="0000FF"/>
                </w:rPr>
                <w:t>работникам</w:t>
              </w:r>
            </w:hyperlink>
            <w:r>
              <w:t xml:space="preserve"> под отчет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Без </w:t>
            </w:r>
            <w:hyperlink r:id="rId8" w:history="1">
              <w:r>
                <w:rPr>
                  <w:color w:val="0000FF"/>
                </w:rPr>
                <w:t>ограничений</w:t>
              </w:r>
            </w:hyperlink>
            <w:r>
              <w:t xml:space="preserve"> по сумме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возврат за оплаченные ранее наличными деньгами и возвращенные товары, невыполненные работы, </w:t>
            </w:r>
            <w:proofErr w:type="spellStart"/>
            <w:r>
              <w:t>неоказанные</w:t>
            </w:r>
            <w:proofErr w:type="spellEnd"/>
            <w:r>
              <w:t xml:space="preserve"> услуги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 xml:space="preserve">выдача наличных денег при осуществлении операций банковским платежным агентом (субагентом) в соответствии с требованиями </w:t>
            </w:r>
            <w:hyperlink r:id="rId9" w:history="1">
              <w:r>
                <w:rPr>
                  <w:color w:val="0000FF"/>
                </w:rPr>
                <w:t>ст. 14</w:t>
              </w:r>
            </w:hyperlink>
            <w:r>
              <w:t xml:space="preserve"> Федерального закона от 27 июня 2011 года N 161-ФЗ "О национальной платежной системе"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</w:tbl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r>
        <w:t>--------------------------------</w:t>
      </w:r>
    </w:p>
    <w:p w:rsidR="00BF1935" w:rsidRDefault="00BF1935">
      <w:pPr>
        <w:pStyle w:val="ConsPlusNormal"/>
        <w:ind w:firstLine="540"/>
        <w:jc w:val="both"/>
      </w:pPr>
      <w:bookmarkStart w:id="3" w:name="P46"/>
      <w:bookmarkEnd w:id="3"/>
      <w:r>
        <w:t xml:space="preserve">&lt;*&gt; В соответствии с </w:t>
      </w:r>
      <w:hyperlink r:id="rId10" w:history="1">
        <w:r>
          <w:rPr>
            <w:color w:val="0000FF"/>
          </w:rPr>
          <w:t>п. 6</w:t>
        </w:r>
      </w:hyperlink>
      <w:r>
        <w:t xml:space="preserve"> Указания Банка России от 07.10.2013 N 3073-У "Об осуществлении наличных расчетов" под предельным размером наличных расчетов понимают наличные расчеты в валюте Российской Федерации и иностранной валюте между участниками наличных расчетов в рамках одного договора, заключенного между указанными лицами, могут производиться в размере, не превышающем 100 тысяч рублей либо сумму в иностранной валюте, эквивалентную 100 тысячам рублей по официальному курсу Банка России на дату проведения наличных расчетов.</w:t>
      </w:r>
    </w:p>
    <w:p w:rsidR="00BF1935" w:rsidRDefault="00BF1935">
      <w:pPr>
        <w:pStyle w:val="ConsPlusNormal"/>
        <w:ind w:firstLine="540"/>
        <w:jc w:val="both"/>
      </w:pPr>
      <w:r>
        <w:t xml:space="preserve">Наличные расчеты производятся в размере, не превышающем предельный размер наличных </w:t>
      </w:r>
      <w:r>
        <w:lastRenderedPageBreak/>
        <w:t>расчетов, при исполнении гражданско-правовых обязательств, предусмотренных договором, заключенным между участниками наличных расчетов, и (или) вытекающих из него и исполняемых как в период действия договора, так и после окончания срока его действия.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bookmarkStart w:id="4" w:name="P49"/>
      <w:bookmarkEnd w:id="4"/>
      <w:r>
        <w:rPr>
          <w:b/>
        </w:rPr>
        <w:t>Наличные расчеты деньгами, поступившими в кассу участника наличных расчетов с его банковского счета</w:t>
      </w:r>
    </w:p>
    <w:p w:rsidR="00BF1935" w:rsidRDefault="00BF1935">
      <w:pPr>
        <w:pStyle w:val="ConsPlusNormal"/>
        <w:ind w:firstLine="540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8"/>
        <w:gridCol w:w="3600"/>
      </w:tblGrid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center"/>
            </w:pPr>
            <w:r>
              <w:rPr>
                <w:b/>
              </w:rPr>
              <w:t xml:space="preserve">Допускаемая </w:t>
            </w:r>
            <w:hyperlink r:id="rId11" w:history="1">
              <w:r>
                <w:rPr>
                  <w:b/>
                  <w:color w:val="0000FF"/>
                </w:rPr>
                <w:t>цель</w:t>
              </w:r>
            </w:hyperlink>
            <w:r>
              <w:rPr>
                <w:b/>
              </w:rPr>
              <w:t xml:space="preserve"> расходования наличных денег в валюте РФ между участниками наличных расчетов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center"/>
            </w:pPr>
            <w:r>
              <w:rPr>
                <w:b/>
              </w:rPr>
              <w:t>Предельный размер наличных расчетов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операции с ценными бумагами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платежи по договорам аренды недвижимого имущества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выдача (возврат) займов (процентов по займам)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  <w:tr w:rsidR="00BF1935">
        <w:tc>
          <w:tcPr>
            <w:tcW w:w="5688" w:type="dxa"/>
          </w:tcPr>
          <w:p w:rsidR="00BF1935" w:rsidRDefault="00BF1935">
            <w:pPr>
              <w:pStyle w:val="ConsPlusNormal"/>
              <w:jc w:val="both"/>
            </w:pPr>
            <w:r>
              <w:t>деятельность по организации и проведению азартных игр</w:t>
            </w:r>
          </w:p>
        </w:tc>
        <w:tc>
          <w:tcPr>
            <w:tcW w:w="3600" w:type="dxa"/>
          </w:tcPr>
          <w:p w:rsidR="00BF1935" w:rsidRDefault="00BF1935">
            <w:pPr>
              <w:pStyle w:val="ConsPlusNormal"/>
              <w:jc w:val="both"/>
            </w:pPr>
            <w:r>
              <w:t>100 тыс. руб. в рамках одного договора</w:t>
            </w:r>
          </w:p>
        </w:tc>
      </w:tr>
    </w:tbl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bookmarkStart w:id="5" w:name="P62"/>
      <w:bookmarkEnd w:id="5"/>
      <w:r>
        <w:rPr>
          <w:b/>
        </w:rPr>
        <w:t>Наличные расчеты деньгами, поступившими в кассу участника наличных расчетов из других источников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Указанием</w:t>
        </w:r>
      </w:hyperlink>
      <w:r>
        <w:t xml:space="preserve"> Банка России от 07.10.2013 N 3073-У "Об осуществлении наличных расчетов" не предусмотрено.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Указанием</w:t>
        </w:r>
      </w:hyperlink>
      <w:r>
        <w:t xml:space="preserve"> Банка России от 11.03.2014 N 3210-У определен порядок ведения кассовых операций с банкнотами и монетой Банка России на территории Российской Федерации юридическими лицами (за исключением Центрального банка Российской Федерации, кредитных организаций), а также упрощенный порядок ведения кассовых операций индивидуальными предпринимателями и субъектами малого предпринимательства.</w:t>
      </w:r>
    </w:p>
    <w:p w:rsidR="00BF1935" w:rsidRDefault="00BF1935">
      <w:pPr>
        <w:pStyle w:val="ConsPlusNormal"/>
        <w:ind w:firstLine="540"/>
        <w:jc w:val="both"/>
      </w:pPr>
      <w:r>
        <w:t xml:space="preserve">О порядке ведения кассовых операций и осуществлении наличных расчетов, см. </w:t>
      </w:r>
      <w:hyperlink r:id="rId14" w:history="1">
        <w:r>
          <w:rPr>
            <w:color w:val="0000FF"/>
          </w:rPr>
          <w:t>Письмо</w:t>
        </w:r>
      </w:hyperlink>
      <w:r>
        <w:t xml:space="preserve"> ФНС России от 09.07.2014 N ЕД-4-2/13338, </w:t>
      </w:r>
      <w:hyperlink r:id="rId15" w:history="1">
        <w:r>
          <w:rPr>
            <w:color w:val="0000FF"/>
          </w:rPr>
          <w:t>Информацию</w:t>
        </w:r>
      </w:hyperlink>
      <w:r>
        <w:t xml:space="preserve"> ФНС России от 30.12.2015.</w:t>
      </w:r>
    </w:p>
    <w:p w:rsidR="00BF1935" w:rsidRDefault="00BF1935">
      <w:pPr>
        <w:pStyle w:val="ConsPlusNormal"/>
        <w:ind w:firstLine="540"/>
        <w:jc w:val="both"/>
      </w:pPr>
      <w:r>
        <w:rPr>
          <w:b/>
        </w:rPr>
        <w:t>Внимание!</w:t>
      </w:r>
      <w:r>
        <w:t xml:space="preserve"> Банк России рекомендует обеспечивать повышенное внимание сомнительным операциям организаций розничной торговли, подробнее см. Методические </w:t>
      </w:r>
      <w:hyperlink r:id="rId16" w:history="1">
        <w:r>
          <w:rPr>
            <w:color w:val="0000FF"/>
          </w:rPr>
          <w:t>рекомендации</w:t>
        </w:r>
      </w:hyperlink>
      <w:r>
        <w:t xml:space="preserve"> о повышении внимания кредитных организаций к отдельным операциям клиентов (утв. Банком России 04.12.2015 N 35-МР).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Title"/>
        <w:jc w:val="center"/>
      </w:pPr>
      <w:bookmarkStart w:id="6" w:name="P70"/>
      <w:bookmarkEnd w:id="6"/>
      <w:r>
        <w:t>1.2. Наличные расчеты между участниками наличных расчетов и физическими лицами</w:t>
      </w:r>
    </w:p>
    <w:p w:rsidR="00BF1935" w:rsidRDefault="00BF1935">
      <w:pPr>
        <w:pStyle w:val="ConsPlusNormal"/>
        <w:ind w:firstLine="540"/>
        <w:jc w:val="both"/>
      </w:pPr>
    </w:p>
    <w:p w:rsidR="00BF1935" w:rsidRDefault="00BF1935">
      <w:pPr>
        <w:pStyle w:val="ConsPlusNormal"/>
        <w:ind w:firstLine="540"/>
        <w:jc w:val="both"/>
      </w:pPr>
      <w:r>
        <w:t xml:space="preserve">Наличные расчеты в валюте Российской Федерации и иностранной валюте между участниками наличных расчетов и физическими лицами осуществляются без </w:t>
      </w:r>
      <w:hyperlink r:id="rId17" w:history="1">
        <w:r>
          <w:rPr>
            <w:color w:val="0000FF"/>
          </w:rPr>
          <w:t>ограничения</w:t>
        </w:r>
      </w:hyperlink>
      <w:r>
        <w:t xml:space="preserve"> суммы.</w:t>
      </w:r>
    </w:p>
    <w:p w:rsidR="00BF1935" w:rsidRDefault="00BF1935">
      <w:pPr>
        <w:pStyle w:val="ConsPlusNormal"/>
        <w:ind w:firstLine="540"/>
        <w:jc w:val="both"/>
      </w:pPr>
      <w:r>
        <w:rPr>
          <w:b/>
        </w:rPr>
        <w:t>Внимание</w:t>
      </w:r>
      <w:r>
        <w:t xml:space="preserve">! Участники наличных расчетов </w:t>
      </w:r>
      <w:hyperlink r:id="rId18" w:history="1">
        <w:r>
          <w:rPr>
            <w:color w:val="0000FF"/>
          </w:rPr>
          <w:t>вправе</w:t>
        </w:r>
      </w:hyperlink>
      <w:r>
        <w:t xml:space="preserve"> осуществлять наличные расчеты в валюте Российской Федерации с физическими лицами по операциям с ценными бумагами, по договорам аренды недвижимого имущества, по выдаче (возврату) займов (процентов по займам), по деятельности по организации и проведению азартных игр только за счет наличных денег, поступивших в кассу участника наличных расчетов с его банковского счета.</w:t>
      </w:r>
    </w:p>
    <w:p w:rsidR="00BF1935" w:rsidRDefault="00BF1935">
      <w:pPr>
        <w:pStyle w:val="ConsPlusNormal"/>
        <w:ind w:firstLine="540"/>
        <w:jc w:val="both"/>
      </w:pPr>
      <w:r>
        <w:t xml:space="preserve">О выплате заработной платы физическим лицам - нерезидентам см. </w:t>
      </w:r>
      <w:hyperlink r:id="rId19" w:history="1">
        <w:r>
          <w:rPr>
            <w:color w:val="0000FF"/>
          </w:rPr>
          <w:t>Информацию</w:t>
        </w:r>
      </w:hyperlink>
      <w:r>
        <w:t xml:space="preserve"> </w:t>
      </w:r>
      <w:proofErr w:type="spellStart"/>
      <w:r>
        <w:t>Росфиннадзора</w:t>
      </w:r>
      <w:proofErr w:type="spellEnd"/>
    </w:p>
    <w:p w:rsidR="00BF1935" w:rsidRDefault="00BF1935">
      <w:pPr>
        <w:pStyle w:val="ConsPlusNormal"/>
        <w:ind w:firstLine="540"/>
        <w:jc w:val="both"/>
      </w:pPr>
    </w:p>
    <w:sectPr w:rsidR="00BF1935" w:rsidSect="0059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35"/>
    <w:rsid w:val="00BF1935"/>
    <w:rsid w:val="00D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40D44-0B81-4B0E-B2A9-D9F3F3A1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9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D7B86F4FDF812337D15D4C65E5E5304FCEC143B7C8A3C54E6D6DCF22209B399B55867C3682B687n9H2L" TargetMode="External"/><Relationship Id="rId13" Type="http://schemas.openxmlformats.org/officeDocument/2006/relationships/hyperlink" Target="consultantplus://offline/ref=ABD7B86F4FDF812337D15D4C65E5E5304FCFC640BCCFA3C54E6D6DCF22n2H0L" TargetMode="External"/><Relationship Id="rId18" Type="http://schemas.openxmlformats.org/officeDocument/2006/relationships/hyperlink" Target="consultantplus://offline/ref=ABD7B86F4FDF812337D15D4C65E5E5304FCEC143B7C8A3C54E6D6DCF22209B399B55867C3682B687n9H5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D7B86F4FDF812337D14058778DDF3610C5C243BFCAA89B196F3C9A2C259369D345C8393B83B6859482n2H1L" TargetMode="External"/><Relationship Id="rId12" Type="http://schemas.openxmlformats.org/officeDocument/2006/relationships/hyperlink" Target="consultantplus://offline/ref=ABD7B86F4FDF812337D15D4C65E5E5304FCEC143B7C8A3C54E6D6DCF22n2H0L" TargetMode="External"/><Relationship Id="rId17" Type="http://schemas.openxmlformats.org/officeDocument/2006/relationships/hyperlink" Target="consultantplus://offline/ref=ABD7B86F4FDF812337D15D4C65E5E5304FCEC143B7C8A3C54E6D6DCF22209B399B55867C3682B687n9H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D7B86F4FDF812337D15D4C65E5E5304FC1C345BDC8A3C54E6D6DCF22n2H0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D7B86F4FDF812337D15D4C65E5E5304FCEC143B7C8A3C54E6D6DCF22209B399B55867C3682B687n9H2L" TargetMode="External"/><Relationship Id="rId11" Type="http://schemas.openxmlformats.org/officeDocument/2006/relationships/hyperlink" Target="consultantplus://offline/ref=ABD7B86F4FDF812337D15D4C65E5E5304FCEC143B7C8A3C54E6D6DCF22209B399B55867C3682B687n9H5L" TargetMode="External"/><Relationship Id="rId5" Type="http://schemas.openxmlformats.org/officeDocument/2006/relationships/hyperlink" Target="consultantplus://offline/ref=ABD7B86F4FDF812337D15D4C65E5E5304FCEC143B7C8A3C54E6D6DCF22209B399B55867C3682B687n9H2L" TargetMode="External"/><Relationship Id="rId15" Type="http://schemas.openxmlformats.org/officeDocument/2006/relationships/hyperlink" Target="consultantplus://offline/ref=ABD7B86F4FDF812337D15D4C65E5E5304FC1C244B8CAA3C54E6D6DCF22n2H0L" TargetMode="External"/><Relationship Id="rId10" Type="http://schemas.openxmlformats.org/officeDocument/2006/relationships/hyperlink" Target="consultantplus://offline/ref=ABD7B86F4FDF812337D15D4C65E5E5304FCEC143B7C8A3C54E6D6DCF22209B399B55867C3682B687n9H7L" TargetMode="External"/><Relationship Id="rId19" Type="http://schemas.openxmlformats.org/officeDocument/2006/relationships/hyperlink" Target="consultantplus://offline/ref=ABD7B86F4FDF812337D15D4C65E5E5304FCDCA46B9C9A3C54E6D6DCF22n2H0L" TargetMode="External"/><Relationship Id="rId4" Type="http://schemas.openxmlformats.org/officeDocument/2006/relationships/hyperlink" Target="consultantplus://offline/ref=ABD7B86F4FDF812337D15D4C65E5E5304FCEC143B7C8A3C54E6D6DCF22209B399B55867C3682B684n9H4L" TargetMode="External"/><Relationship Id="rId9" Type="http://schemas.openxmlformats.org/officeDocument/2006/relationships/hyperlink" Target="consultantplus://offline/ref=ABD7B86F4FDF812337D15D4C65E5E5304CC8C247B9CDA3C54E6D6DCF22209B399B55867C3682B485n9H6L" TargetMode="External"/><Relationship Id="rId14" Type="http://schemas.openxmlformats.org/officeDocument/2006/relationships/hyperlink" Target="consultantplus://offline/ref=ABD7B86F4FDF812337D15D4C65E5E5304FCDC44EB6CAA3C54E6D6DCF22n2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Перменевы</dc:creator>
  <cp:keywords/>
  <dc:description/>
  <cp:lastModifiedBy>Перменевы</cp:lastModifiedBy>
  <cp:revision>1</cp:revision>
  <dcterms:created xsi:type="dcterms:W3CDTF">2017-01-20T11:07:00Z</dcterms:created>
  <dcterms:modified xsi:type="dcterms:W3CDTF">2017-01-20T11:08:00Z</dcterms:modified>
</cp:coreProperties>
</file>