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330" w:rsidRPr="00CA40AC" w:rsidRDefault="00C76330" w:rsidP="00C76330">
      <w:pPr>
        <w:pStyle w:val="a3"/>
        <w:rPr>
          <w:rFonts w:ascii="Arial" w:hAnsi="Arial" w:cs="Arial"/>
          <w:color w:val="666666"/>
          <w:sz w:val="19"/>
          <w:szCs w:val="19"/>
          <w:lang w:val="en-US"/>
        </w:rPr>
      </w:pPr>
    </w:p>
    <w:p w:rsidR="00AF69E2" w:rsidRPr="00AF69E2" w:rsidRDefault="00AF69E2" w:rsidP="003A7D85">
      <w:pPr>
        <w:shd w:val="clear" w:color="auto" w:fill="FFFFFF"/>
        <w:spacing w:after="153" w:line="612" w:lineRule="atLeast"/>
        <w:jc w:val="both"/>
        <w:rPr>
          <w:rFonts w:ascii="Georgia" w:eastAsia="Times New Roman" w:hAnsi="Georgia" w:cs="Helvetica"/>
          <w:color w:val="1D2129"/>
          <w:sz w:val="51"/>
          <w:szCs w:val="51"/>
          <w:lang w:eastAsia="ru-RU"/>
        </w:rPr>
      </w:pPr>
      <w:r w:rsidRPr="00AF69E2">
        <w:rPr>
          <w:rFonts w:ascii="Georgia" w:eastAsia="Times New Roman" w:hAnsi="Georgia" w:cs="Helvetica"/>
          <w:color w:val="1D2129"/>
          <w:sz w:val="51"/>
          <w:szCs w:val="51"/>
          <w:lang w:eastAsia="ru-RU"/>
        </w:rPr>
        <w:t>Выплаты работникам при увольнении по соглашению сторон</w:t>
      </w:r>
    </w:p>
    <w:p w:rsidR="00AF69E2" w:rsidRPr="00AF69E2" w:rsidRDefault="00AF69E2" w:rsidP="003A7D85">
      <w:pPr>
        <w:shd w:val="clear" w:color="auto" w:fill="FFFFFF"/>
        <w:spacing w:line="357" w:lineRule="atLeast"/>
        <w:jc w:val="both"/>
        <w:rPr>
          <w:rFonts w:ascii="Georgia" w:eastAsia="Times New Roman" w:hAnsi="Georgia" w:cs="Times New Roman"/>
          <w:b/>
          <w:color w:val="1D2129"/>
          <w:lang w:eastAsia="ru-RU"/>
        </w:rPr>
      </w:pPr>
      <w:r w:rsidRPr="00AF69E2">
        <w:rPr>
          <w:rFonts w:ascii="Georgia" w:eastAsia="Times New Roman" w:hAnsi="Georgia" w:cs="Times New Roman"/>
          <w:b/>
          <w:color w:val="1D2129"/>
          <w:lang w:eastAsia="ru-RU"/>
        </w:rPr>
        <w:t>Нужно ответить на два вопроса:</w:t>
      </w:r>
    </w:p>
    <w:p w:rsidR="00AF69E2" w:rsidRPr="00AF69E2" w:rsidRDefault="00AF69E2" w:rsidP="003A7D85">
      <w:pPr>
        <w:shd w:val="clear" w:color="auto" w:fill="FFFFFF"/>
        <w:spacing w:line="357" w:lineRule="atLeast"/>
        <w:jc w:val="both"/>
        <w:rPr>
          <w:rFonts w:ascii="Georgia" w:eastAsia="Times New Roman" w:hAnsi="Georgia" w:cs="Times New Roman"/>
          <w:color w:val="1D2129"/>
          <w:lang w:eastAsia="ru-RU"/>
        </w:rPr>
      </w:pPr>
      <w:r w:rsidRPr="00AF69E2">
        <w:rPr>
          <w:rFonts w:ascii="Georgia" w:eastAsia="Times New Roman" w:hAnsi="Georgia" w:cs="Times New Roman"/>
          <w:color w:val="1D2129"/>
          <w:lang w:eastAsia="ru-RU"/>
        </w:rPr>
        <w:t>1. Законны ли дополнительные выплаты при увольнении по п.1 ст.77 ТК РФ, кроме тех, которые предусмотрены ТК РФ?</w:t>
      </w:r>
    </w:p>
    <w:p w:rsidR="00AF69E2" w:rsidRPr="00AF69E2" w:rsidRDefault="00AF69E2" w:rsidP="003A7D85">
      <w:pPr>
        <w:shd w:val="clear" w:color="auto" w:fill="FFFFFF"/>
        <w:spacing w:line="357" w:lineRule="atLeast"/>
        <w:jc w:val="both"/>
        <w:rPr>
          <w:rFonts w:ascii="Georgia" w:eastAsia="Times New Roman" w:hAnsi="Georgia" w:cs="Times New Roman"/>
          <w:color w:val="1D2129"/>
          <w:lang w:eastAsia="ru-RU"/>
        </w:rPr>
      </w:pPr>
      <w:r w:rsidRPr="00AF69E2">
        <w:rPr>
          <w:rFonts w:ascii="Georgia" w:eastAsia="Times New Roman" w:hAnsi="Georgia" w:cs="Times New Roman"/>
          <w:color w:val="1D2129"/>
          <w:lang w:eastAsia="ru-RU"/>
        </w:rPr>
        <w:t>2. Законно ли указать эти дополнительные выплаты именно в Соглашении о расторжении по соглашению сторон?</w:t>
      </w:r>
    </w:p>
    <w:p w:rsidR="00AF69E2" w:rsidRPr="00AF69E2" w:rsidRDefault="00AF69E2" w:rsidP="003A7D85">
      <w:pPr>
        <w:shd w:val="clear" w:color="auto" w:fill="FFFFFF"/>
        <w:spacing w:line="357" w:lineRule="atLeast"/>
        <w:jc w:val="both"/>
        <w:rPr>
          <w:rFonts w:ascii="Georgia" w:eastAsia="Times New Roman" w:hAnsi="Georgia" w:cs="Times New Roman"/>
          <w:color w:val="1D2129"/>
          <w:lang w:eastAsia="ru-RU"/>
        </w:rPr>
      </w:pPr>
      <w:r w:rsidRPr="00AF69E2">
        <w:rPr>
          <w:rFonts w:ascii="Georgia" w:eastAsia="Times New Roman" w:hAnsi="Georgia" w:cs="Times New Roman"/>
          <w:color w:val="1D2129"/>
          <w:lang w:eastAsia="ru-RU"/>
        </w:rPr>
        <w:t xml:space="preserve">Ответ на этот вопрос интересует </w:t>
      </w:r>
      <w:r w:rsidR="00384509">
        <w:rPr>
          <w:rFonts w:ascii="Georgia" w:eastAsia="Times New Roman" w:hAnsi="Georgia" w:cs="Times New Roman"/>
          <w:color w:val="1D2129"/>
          <w:lang w:eastAsia="ru-RU"/>
        </w:rPr>
        <w:t xml:space="preserve">работодателей и </w:t>
      </w:r>
      <w:r w:rsidRPr="00AF69E2">
        <w:rPr>
          <w:rFonts w:ascii="Georgia" w:eastAsia="Times New Roman" w:hAnsi="Georgia" w:cs="Times New Roman"/>
          <w:color w:val="1D2129"/>
          <w:lang w:eastAsia="ru-RU"/>
        </w:rPr>
        <w:t>работников, особенно в текущей ситуации кризиса, когда работодатели для экономии расходов, а также, для упрощения делопроизводства, подменяют увольнением по п.1 ст.77 ТК РФ увольнение по п.1, 2 ст.81 ТК</w:t>
      </w:r>
      <w:r w:rsidR="00384509">
        <w:rPr>
          <w:rFonts w:ascii="Georgia" w:eastAsia="Times New Roman" w:hAnsi="Georgia" w:cs="Times New Roman"/>
          <w:color w:val="1D2129"/>
          <w:lang w:eastAsia="ru-RU"/>
        </w:rPr>
        <w:t xml:space="preserve"> </w:t>
      </w:r>
      <w:r w:rsidRPr="00AF69E2">
        <w:rPr>
          <w:rFonts w:ascii="Georgia" w:eastAsia="Times New Roman" w:hAnsi="Georgia" w:cs="Times New Roman"/>
          <w:color w:val="1D2129"/>
          <w:lang w:eastAsia="ru-RU"/>
        </w:rPr>
        <w:t>РФ.</w:t>
      </w:r>
    </w:p>
    <w:p w:rsidR="005346CB" w:rsidRPr="003A7D85" w:rsidRDefault="00E85A12" w:rsidP="003A7D85">
      <w:pPr>
        <w:shd w:val="clear" w:color="auto" w:fill="FFFFFF"/>
        <w:spacing w:line="357" w:lineRule="atLeast"/>
        <w:jc w:val="both"/>
        <w:rPr>
          <w:rFonts w:ascii="Georgia" w:eastAsia="Times New Roman" w:hAnsi="Georgia" w:cs="Times New Roman"/>
          <w:color w:val="1D2129"/>
          <w:lang w:eastAsia="ru-RU"/>
        </w:rPr>
      </w:pPr>
      <w:proofErr w:type="gramStart"/>
      <w:r w:rsidRPr="00E85A12">
        <w:rPr>
          <w:rFonts w:ascii="Georgia" w:eastAsia="Times New Roman" w:hAnsi="Georgia" w:cs="Times New Roman"/>
          <w:color w:val="1D2129"/>
          <w:lang w:eastAsia="ru-RU"/>
        </w:rPr>
        <w:t>С </w:t>
      </w:r>
      <w:r w:rsidR="003866CA" w:rsidRPr="003866CA">
        <w:rPr>
          <w:rFonts w:ascii="Georgia" w:eastAsia="Times New Roman" w:hAnsi="Georgia" w:cs="Times New Roman"/>
          <w:color w:val="1D2129"/>
          <w:lang w:eastAsia="ru-RU"/>
        </w:rPr>
        <w:t xml:space="preserve"> </w:t>
      </w:r>
      <w:r w:rsidRPr="00E85A12">
        <w:rPr>
          <w:rFonts w:ascii="Georgia" w:eastAsia="Times New Roman" w:hAnsi="Georgia" w:cs="Times New Roman"/>
          <w:color w:val="1D2129"/>
          <w:lang w:eastAsia="ru-RU"/>
        </w:rPr>
        <w:t>учетом последней судебной практики (</w:t>
      </w:r>
      <w:r w:rsidRPr="00E85A12">
        <w:rPr>
          <w:rFonts w:ascii="Georgia" w:eastAsia="Times New Roman" w:hAnsi="Georgia" w:cs="Times New Roman"/>
          <w:iCs/>
          <w:color w:val="1D2129"/>
          <w:lang w:eastAsia="ru-RU"/>
        </w:rPr>
        <w:t>Апелляционное определение Московского городского суда</w:t>
      </w:r>
      <w:r w:rsidRPr="00E85A12">
        <w:rPr>
          <w:rFonts w:ascii="Georgia" w:eastAsia="Times New Roman" w:hAnsi="Georgia" w:cs="Times New Roman"/>
          <w:color w:val="1D2129"/>
          <w:lang w:eastAsia="ru-RU"/>
        </w:rPr>
        <w:t> </w:t>
      </w:r>
      <w:r w:rsidRPr="00E85A12">
        <w:rPr>
          <w:rFonts w:ascii="Georgia" w:eastAsia="Times New Roman" w:hAnsi="Georgia" w:cs="Times New Roman"/>
          <w:iCs/>
          <w:color w:val="1D2129"/>
          <w:lang w:eastAsia="ru-RU"/>
        </w:rPr>
        <w:t>от</w:t>
      </w:r>
      <w:r w:rsidR="003866CA" w:rsidRPr="003866CA">
        <w:rPr>
          <w:rFonts w:ascii="Georgia" w:eastAsia="Times New Roman" w:hAnsi="Georgia" w:cs="Times New Roman"/>
          <w:iCs/>
          <w:color w:val="1D2129"/>
          <w:lang w:eastAsia="ru-RU"/>
        </w:rPr>
        <w:t xml:space="preserve"> </w:t>
      </w:r>
      <w:r w:rsidRPr="00E85A12">
        <w:rPr>
          <w:rFonts w:ascii="Georgia" w:eastAsia="Times New Roman" w:hAnsi="Georgia" w:cs="Times New Roman"/>
          <w:iCs/>
          <w:color w:val="1D2129"/>
          <w:lang w:eastAsia="ru-RU"/>
        </w:rPr>
        <w:t>10.03.2016</w:t>
      </w:r>
      <w:r w:rsidRPr="00E85A12">
        <w:rPr>
          <w:rFonts w:ascii="Georgia" w:eastAsia="Times New Roman" w:hAnsi="Georgia" w:cs="Times New Roman"/>
          <w:color w:val="1D2129"/>
          <w:lang w:eastAsia="ru-RU"/>
        </w:rPr>
        <w:t> </w:t>
      </w:r>
      <w:r w:rsidRPr="00E85A12">
        <w:rPr>
          <w:rFonts w:ascii="Georgia" w:eastAsia="Times New Roman" w:hAnsi="Georgia" w:cs="Times New Roman"/>
          <w:iCs/>
          <w:color w:val="1D2129"/>
          <w:lang w:eastAsia="ru-RU"/>
        </w:rPr>
        <w:t>по делу N33−4820/2016, Апелляционное</w:t>
      </w:r>
      <w:r w:rsidRPr="00E85A12">
        <w:rPr>
          <w:rFonts w:ascii="Georgia" w:eastAsia="Times New Roman" w:hAnsi="Georgia" w:cs="Times New Roman"/>
          <w:color w:val="1D2129"/>
          <w:lang w:eastAsia="ru-RU"/>
        </w:rPr>
        <w:t> </w:t>
      </w:r>
      <w:hyperlink r:id="rId5" w:history="1">
        <w:r w:rsidRPr="00E85A12">
          <w:rPr>
            <w:rFonts w:ascii="Georgia" w:eastAsia="Times New Roman" w:hAnsi="Georgia" w:cs="Times New Roman"/>
            <w:iCs/>
            <w:color w:val="1D2129"/>
            <w:lang w:eastAsia="ru-RU"/>
          </w:rPr>
          <w:t>определение</w:t>
        </w:r>
      </w:hyperlink>
      <w:r w:rsidRPr="00E85A12">
        <w:rPr>
          <w:rFonts w:ascii="Georgia" w:eastAsia="Times New Roman" w:hAnsi="Georgia" w:cs="Times New Roman"/>
          <w:color w:val="1D2129"/>
          <w:lang w:eastAsia="ru-RU"/>
        </w:rPr>
        <w:t> </w:t>
      </w:r>
      <w:r w:rsidR="003866CA" w:rsidRPr="003866CA">
        <w:rPr>
          <w:rFonts w:ascii="Georgia" w:eastAsia="Times New Roman" w:hAnsi="Georgia" w:cs="Times New Roman"/>
          <w:color w:val="1D2129"/>
          <w:lang w:eastAsia="ru-RU"/>
        </w:rPr>
        <w:t xml:space="preserve"> </w:t>
      </w:r>
      <w:r w:rsidRPr="00E85A12">
        <w:rPr>
          <w:rFonts w:ascii="Georgia" w:eastAsia="Times New Roman" w:hAnsi="Georgia" w:cs="Times New Roman"/>
          <w:iCs/>
          <w:color w:val="1D2129"/>
          <w:lang w:eastAsia="ru-RU"/>
        </w:rPr>
        <w:t>Московского городского суда</w:t>
      </w:r>
      <w:r w:rsidRPr="00E85A12">
        <w:rPr>
          <w:rFonts w:ascii="Georgia" w:eastAsia="Times New Roman" w:hAnsi="Georgia" w:cs="Times New Roman"/>
          <w:color w:val="1D2129"/>
          <w:lang w:eastAsia="ru-RU"/>
        </w:rPr>
        <w:t> </w:t>
      </w:r>
      <w:r w:rsidRPr="00E85A12">
        <w:rPr>
          <w:rFonts w:ascii="Georgia" w:eastAsia="Times New Roman" w:hAnsi="Georgia" w:cs="Times New Roman"/>
          <w:iCs/>
          <w:color w:val="1D2129"/>
          <w:lang w:eastAsia="ru-RU"/>
        </w:rPr>
        <w:t>от 18.06.2015</w:t>
      </w:r>
      <w:r w:rsidR="003866CA" w:rsidRPr="003866CA">
        <w:rPr>
          <w:rFonts w:ascii="Georgia" w:eastAsia="Times New Roman" w:hAnsi="Georgia" w:cs="Times New Roman"/>
          <w:iCs/>
          <w:color w:val="1D2129"/>
          <w:lang w:eastAsia="ru-RU"/>
        </w:rPr>
        <w:t xml:space="preserve"> </w:t>
      </w:r>
      <w:r w:rsidRPr="00E85A12">
        <w:rPr>
          <w:rFonts w:ascii="Georgia" w:eastAsia="Times New Roman" w:hAnsi="Georgia" w:cs="Times New Roman"/>
          <w:iCs/>
          <w:color w:val="1D2129"/>
          <w:lang w:eastAsia="ru-RU"/>
        </w:rPr>
        <w:t>по делу N33−20726</w:t>
      </w:r>
      <w:r w:rsidRPr="00E85A12">
        <w:rPr>
          <w:rFonts w:ascii="Georgia" w:eastAsia="Times New Roman" w:hAnsi="Georgia" w:cs="Times New Roman"/>
          <w:color w:val="1D2129"/>
          <w:lang w:eastAsia="ru-RU"/>
        </w:rPr>
        <w:t>), работнику нужно точно знать, что </w:t>
      </w:r>
      <w:r w:rsidR="003866CA" w:rsidRPr="003866CA">
        <w:rPr>
          <w:rFonts w:ascii="Georgia" w:eastAsia="Times New Roman" w:hAnsi="Georgia" w:cs="Times New Roman"/>
          <w:color w:val="1D2129"/>
          <w:lang w:eastAsia="ru-RU"/>
        </w:rPr>
        <w:t xml:space="preserve"> </w:t>
      </w:r>
      <w:r w:rsidRPr="00E85A12">
        <w:rPr>
          <w:rFonts w:ascii="Georgia" w:eastAsia="Times New Roman" w:hAnsi="Georgia" w:cs="Times New Roman"/>
          <w:b/>
          <w:bCs/>
          <w:color w:val="1D2129"/>
          <w:lang w:eastAsia="ru-RU"/>
        </w:rPr>
        <w:t>в </w:t>
      </w:r>
      <w:r w:rsidR="003866CA" w:rsidRPr="003866CA">
        <w:rPr>
          <w:rFonts w:ascii="Georgia" w:eastAsia="Times New Roman" w:hAnsi="Georgia" w:cs="Times New Roman"/>
          <w:b/>
          <w:bCs/>
          <w:color w:val="1D2129"/>
          <w:lang w:eastAsia="ru-RU"/>
        </w:rPr>
        <w:t xml:space="preserve"> </w:t>
      </w:r>
      <w:r w:rsidRPr="00E85A12">
        <w:rPr>
          <w:rFonts w:ascii="Georgia" w:eastAsia="Times New Roman" w:hAnsi="Georgia" w:cs="Times New Roman"/>
          <w:b/>
          <w:bCs/>
          <w:color w:val="1D2129"/>
          <w:lang w:eastAsia="ru-RU"/>
        </w:rPr>
        <w:t>локальном нормативном акте работодателя об оплате труда, есть пункт о том, что при увольнении работника могут выплачиваться дополнительные суммы, эти суммы должны соответствовать системе оплаты труда</w:t>
      </w:r>
      <w:proofErr w:type="gramEnd"/>
      <w:r w:rsidRPr="00E85A12">
        <w:rPr>
          <w:rFonts w:ascii="Georgia" w:eastAsia="Times New Roman" w:hAnsi="Georgia" w:cs="Times New Roman"/>
          <w:b/>
          <w:bCs/>
          <w:color w:val="1D2129"/>
          <w:lang w:eastAsia="ru-RU"/>
        </w:rPr>
        <w:t>, и не могут носить произвольный характер.</w:t>
      </w:r>
      <w:r w:rsidRPr="00E85A12">
        <w:rPr>
          <w:rFonts w:ascii="Georgia" w:eastAsia="Times New Roman" w:hAnsi="Georgia" w:cs="Times New Roman"/>
          <w:color w:val="1D2129"/>
          <w:lang w:eastAsia="ru-RU"/>
        </w:rPr>
        <w:t> Лучше исходить из аналогии с ТК РФ (ст. 178, 180 ТК РФ, Постановлением Правительства РФ №922 от 24.12.2007 "Об особенностях порядка исчисления средней заработной платы") — в размерах трех-пяти должностных окладов или средних ежемесячных заработных плат.</w:t>
      </w:r>
    </w:p>
    <w:p w:rsidR="0082725F" w:rsidRDefault="0082725F" w:rsidP="003A7D85">
      <w:pPr>
        <w:spacing w:after="0" w:line="360" w:lineRule="auto"/>
        <w:jc w:val="both"/>
        <w:rPr>
          <w:rFonts w:ascii="Georgia" w:eastAsia="Times New Roman" w:hAnsi="Georgia" w:cs="Times New Roman"/>
          <w:color w:val="1D2129"/>
          <w:lang w:eastAsia="ru-RU"/>
        </w:rPr>
      </w:pPr>
    </w:p>
    <w:p w:rsidR="0082725F" w:rsidRPr="0082725F" w:rsidRDefault="0082725F" w:rsidP="003A7D85">
      <w:pPr>
        <w:spacing w:after="0" w:line="360" w:lineRule="auto"/>
        <w:jc w:val="both"/>
        <w:rPr>
          <w:rFonts w:ascii="Georgia" w:eastAsia="Times New Roman" w:hAnsi="Georgia" w:cs="Times New Roman"/>
          <w:color w:val="1D2129"/>
          <w:lang w:eastAsia="ru-RU"/>
        </w:rPr>
      </w:pPr>
      <w:r w:rsidRPr="0082725F">
        <w:rPr>
          <w:rFonts w:ascii="Georgia" w:eastAsia="Times New Roman" w:hAnsi="Georgia" w:cs="Times New Roman"/>
          <w:color w:val="1D2129"/>
          <w:lang w:eastAsia="ru-RU"/>
        </w:rPr>
        <w:t>Верховный Суд РФ в </w:t>
      </w:r>
      <w:hyperlink r:id="rId6" w:history="1">
        <w:r w:rsidRPr="0082725F">
          <w:rPr>
            <w:rFonts w:ascii="Georgia" w:eastAsia="Times New Roman" w:hAnsi="Georgia" w:cs="Times New Roman"/>
            <w:color w:val="1D2129"/>
            <w:lang w:eastAsia="ru-RU"/>
          </w:rPr>
          <w:t>определении</w:t>
        </w:r>
      </w:hyperlink>
      <w:r w:rsidRPr="0082725F">
        <w:rPr>
          <w:rFonts w:ascii="Georgia" w:eastAsia="Times New Roman" w:hAnsi="Georgia" w:cs="Times New Roman"/>
          <w:color w:val="1D2129"/>
          <w:lang w:eastAsia="ru-RU"/>
        </w:rPr>
        <w:t xml:space="preserve"> от 10.08.2015 N 36-КГ15-5 указал, что трудовым законодательством не предусмотрено право сторон определять условия о выплате выходного пособия при заключении </w:t>
      </w:r>
      <w:proofErr w:type="gramStart"/>
      <w:r>
        <w:rPr>
          <w:rFonts w:ascii="Georgia" w:eastAsia="Times New Roman" w:hAnsi="Georgia" w:cs="Times New Roman"/>
          <w:color w:val="1D2129"/>
          <w:lang w:val="en-US" w:eastAsia="ru-RU"/>
        </w:rPr>
        <w:t>C</w:t>
      </w:r>
      <w:proofErr w:type="gramEnd"/>
      <w:r w:rsidRPr="0082725F">
        <w:rPr>
          <w:rFonts w:ascii="Georgia" w:eastAsia="Times New Roman" w:hAnsi="Georgia" w:cs="Times New Roman"/>
          <w:color w:val="1D2129"/>
          <w:lang w:eastAsia="ru-RU"/>
        </w:rPr>
        <w:t xml:space="preserve">оглашения </w:t>
      </w:r>
      <w:r>
        <w:rPr>
          <w:rFonts w:ascii="Georgia" w:eastAsia="Times New Roman" w:hAnsi="Georgia" w:cs="Times New Roman"/>
          <w:color w:val="1D2129"/>
          <w:lang w:eastAsia="ru-RU"/>
        </w:rPr>
        <w:t>о расторжении трудового договора</w:t>
      </w:r>
      <w:r w:rsidRPr="0082725F">
        <w:rPr>
          <w:rFonts w:ascii="Georgia" w:eastAsia="Times New Roman" w:hAnsi="Georgia" w:cs="Times New Roman"/>
          <w:color w:val="1D2129"/>
          <w:lang w:eastAsia="ru-RU"/>
        </w:rPr>
        <w:t>.</w:t>
      </w:r>
      <w:r>
        <w:rPr>
          <w:rFonts w:ascii="Georgia" w:eastAsia="Times New Roman" w:hAnsi="Georgia" w:cs="Times New Roman"/>
          <w:color w:val="1D2129"/>
          <w:lang w:eastAsia="ru-RU"/>
        </w:rPr>
        <w:t xml:space="preserve">  </w:t>
      </w:r>
      <w:r w:rsidRPr="0082725F">
        <w:rPr>
          <w:rFonts w:ascii="Georgia" w:eastAsia="Times New Roman" w:hAnsi="Georgia" w:cs="Times New Roman"/>
          <w:b/>
          <w:color w:val="1D2129"/>
          <w:lang w:eastAsia="ru-RU"/>
        </w:rPr>
        <w:t>Вывод:</w:t>
      </w:r>
      <w:r>
        <w:rPr>
          <w:rFonts w:ascii="Georgia" w:eastAsia="Times New Roman" w:hAnsi="Georgia" w:cs="Times New Roman"/>
          <w:color w:val="1D2129"/>
          <w:lang w:eastAsia="ru-RU"/>
        </w:rPr>
        <w:t xml:space="preserve">  </w:t>
      </w:r>
      <w:r w:rsidRPr="0082725F">
        <w:rPr>
          <w:rFonts w:ascii="Georgia" w:eastAsia="Times New Roman" w:hAnsi="Georgia" w:cs="Times New Roman"/>
          <w:color w:val="1D2129"/>
          <w:lang w:eastAsia="ru-RU"/>
        </w:rPr>
        <w:t>Выплата выходного пособия не может быть предусмотрена соглашением о расторжении трудового договора</w:t>
      </w:r>
      <w:r>
        <w:rPr>
          <w:rFonts w:ascii="Georgia" w:eastAsia="Times New Roman" w:hAnsi="Georgia" w:cs="Times New Roman"/>
          <w:color w:val="1D2129"/>
          <w:lang w:eastAsia="ru-RU"/>
        </w:rPr>
        <w:t>.</w:t>
      </w:r>
    </w:p>
    <w:p w:rsidR="0082725F" w:rsidRDefault="0082725F" w:rsidP="003A7D85">
      <w:pPr>
        <w:spacing w:after="0" w:line="360" w:lineRule="auto"/>
        <w:jc w:val="both"/>
        <w:rPr>
          <w:rFonts w:ascii="Georgia" w:eastAsia="Times New Roman" w:hAnsi="Georgia" w:cs="Times New Roman"/>
          <w:color w:val="1D2129"/>
          <w:lang w:eastAsia="ru-RU"/>
        </w:rPr>
      </w:pPr>
      <w:r>
        <w:rPr>
          <w:rFonts w:ascii="Georgia" w:eastAsia="Times New Roman" w:hAnsi="Georgia" w:cs="Times New Roman"/>
          <w:color w:val="1D2129"/>
          <w:lang w:eastAsia="ru-RU"/>
        </w:rPr>
        <w:t xml:space="preserve"> И это основано на том, что С</w:t>
      </w:r>
      <w:r w:rsidRPr="0082725F">
        <w:rPr>
          <w:rFonts w:ascii="Georgia" w:eastAsia="Times New Roman" w:hAnsi="Georgia" w:cs="Times New Roman"/>
          <w:color w:val="1D2129"/>
          <w:lang w:eastAsia="ru-RU"/>
        </w:rPr>
        <w:t>оглашение о расторжении трудового договора дополнительным соглашением к трудовому договору не является и регулировать правоотношения между работником и работодателем, возникшие из трудового договора, не может, так как заключено непосредственно в целях прекращения трудовых правоотношений и регулирует вопросы, связанные непосредственно с таким прекращением.</w:t>
      </w:r>
    </w:p>
    <w:p w:rsidR="0082725F" w:rsidRDefault="0082725F" w:rsidP="003A7D85">
      <w:pPr>
        <w:spacing w:after="0" w:line="360" w:lineRule="auto"/>
        <w:jc w:val="both"/>
        <w:rPr>
          <w:rFonts w:ascii="Georgia" w:eastAsia="Times New Roman" w:hAnsi="Georgia" w:cs="Times New Roman"/>
          <w:color w:val="1D2129"/>
          <w:lang w:eastAsia="ru-RU"/>
        </w:rPr>
      </w:pPr>
    </w:p>
    <w:p w:rsidR="0082725F" w:rsidRDefault="0082725F" w:rsidP="003A7D85">
      <w:pPr>
        <w:spacing w:after="0" w:line="360" w:lineRule="auto"/>
        <w:jc w:val="both"/>
        <w:rPr>
          <w:rFonts w:ascii="Georgia" w:eastAsia="Times New Roman" w:hAnsi="Georgia" w:cs="Times New Roman"/>
          <w:color w:val="1D2129"/>
          <w:lang w:eastAsia="ru-RU"/>
        </w:rPr>
      </w:pPr>
      <w:r w:rsidRPr="00384509">
        <w:rPr>
          <w:rFonts w:ascii="Georgia" w:eastAsia="Times New Roman" w:hAnsi="Georgia" w:cs="Times New Roman"/>
          <w:b/>
          <w:color w:val="1D2129"/>
          <w:lang w:eastAsia="ru-RU"/>
        </w:rPr>
        <w:lastRenderedPageBreak/>
        <w:t>Тем не менее</w:t>
      </w:r>
      <w:r w:rsidRPr="0082725F">
        <w:rPr>
          <w:rFonts w:ascii="Georgia" w:eastAsia="Times New Roman" w:hAnsi="Georgia" w:cs="Times New Roman"/>
          <w:color w:val="1D2129"/>
          <w:lang w:eastAsia="ru-RU"/>
        </w:rPr>
        <w:t xml:space="preserve">, многие суды общей юрисдикции по-прежнему исходят из тезиса о том, что соглашение о расторжении трудового договора является неотъемлемой частью самого трудового договора и, как следствие, таким соглашением может </w:t>
      </w:r>
      <w:proofErr w:type="gramStart"/>
      <w:r w:rsidRPr="0082725F">
        <w:rPr>
          <w:rFonts w:ascii="Georgia" w:eastAsia="Times New Roman" w:hAnsi="Georgia" w:cs="Times New Roman"/>
          <w:color w:val="1D2129"/>
          <w:lang w:eastAsia="ru-RU"/>
        </w:rPr>
        <w:t>регулироваться</w:t>
      </w:r>
      <w:proofErr w:type="gramEnd"/>
      <w:r w:rsidRPr="0082725F">
        <w:rPr>
          <w:rFonts w:ascii="Georgia" w:eastAsia="Times New Roman" w:hAnsi="Georgia" w:cs="Times New Roman"/>
          <w:color w:val="1D2129"/>
          <w:lang w:eastAsia="ru-RU"/>
        </w:rPr>
        <w:t xml:space="preserve"> в том числе и вопрос о выплате работнику выходного пособия (см., например, </w:t>
      </w:r>
      <w:hyperlink r:id="rId7" w:history="1">
        <w:r w:rsidRPr="0082725F">
          <w:rPr>
            <w:rFonts w:ascii="Georgia" w:eastAsia="Times New Roman" w:hAnsi="Georgia" w:cs="Times New Roman"/>
            <w:color w:val="1D2129"/>
            <w:lang w:eastAsia="ru-RU"/>
          </w:rPr>
          <w:t>определение</w:t>
        </w:r>
      </w:hyperlink>
      <w:r w:rsidRPr="0082725F">
        <w:rPr>
          <w:rFonts w:ascii="Georgia" w:eastAsia="Times New Roman" w:hAnsi="Georgia" w:cs="Times New Roman"/>
          <w:color w:val="1D2129"/>
          <w:lang w:eastAsia="ru-RU"/>
        </w:rPr>
        <w:t> Санкт-Петербургского городского суда от 02.03.2016 N 33-3588/2016, </w:t>
      </w:r>
      <w:hyperlink r:id="rId8" w:history="1">
        <w:r w:rsidRPr="0082725F">
          <w:rPr>
            <w:rFonts w:ascii="Georgia" w:eastAsia="Times New Roman" w:hAnsi="Georgia" w:cs="Times New Roman"/>
            <w:color w:val="1D2129"/>
            <w:lang w:eastAsia="ru-RU"/>
          </w:rPr>
          <w:t>определение</w:t>
        </w:r>
      </w:hyperlink>
      <w:r w:rsidRPr="0082725F">
        <w:rPr>
          <w:rFonts w:ascii="Georgia" w:eastAsia="Times New Roman" w:hAnsi="Georgia" w:cs="Times New Roman"/>
          <w:color w:val="1D2129"/>
          <w:lang w:eastAsia="ru-RU"/>
        </w:rPr>
        <w:t xml:space="preserve"> Ростовского областного суда от 14.04.2016 N </w:t>
      </w:r>
      <w:proofErr w:type="gramStart"/>
      <w:r w:rsidRPr="0082725F">
        <w:rPr>
          <w:rFonts w:ascii="Georgia" w:eastAsia="Times New Roman" w:hAnsi="Georgia" w:cs="Times New Roman"/>
          <w:color w:val="1D2129"/>
          <w:lang w:eastAsia="ru-RU"/>
        </w:rPr>
        <w:t>33-6225/2016, </w:t>
      </w:r>
      <w:hyperlink r:id="rId9" w:history="1">
        <w:r w:rsidRPr="0082725F">
          <w:rPr>
            <w:rFonts w:ascii="Georgia" w:eastAsia="Times New Roman" w:hAnsi="Georgia" w:cs="Times New Roman"/>
            <w:color w:val="1D2129"/>
            <w:lang w:eastAsia="ru-RU"/>
          </w:rPr>
          <w:t>определение</w:t>
        </w:r>
      </w:hyperlink>
      <w:r w:rsidRPr="0082725F">
        <w:rPr>
          <w:rFonts w:ascii="Georgia" w:eastAsia="Times New Roman" w:hAnsi="Georgia" w:cs="Times New Roman"/>
          <w:color w:val="1D2129"/>
          <w:lang w:eastAsia="ru-RU"/>
        </w:rPr>
        <w:t> Верховного Суда Республики Башкортостан от 03.12.2015 N 33-21488/2015).</w:t>
      </w:r>
      <w:proofErr w:type="gramEnd"/>
    </w:p>
    <w:p w:rsidR="0082725F" w:rsidRDefault="0082725F" w:rsidP="003A7D85">
      <w:pPr>
        <w:spacing w:after="0" w:line="360" w:lineRule="auto"/>
        <w:jc w:val="both"/>
        <w:rPr>
          <w:rFonts w:ascii="Georgia" w:eastAsia="Times New Roman" w:hAnsi="Georgia" w:cs="Times New Roman"/>
          <w:color w:val="1D2129"/>
          <w:lang w:eastAsia="ru-RU"/>
        </w:rPr>
      </w:pPr>
    </w:p>
    <w:p w:rsidR="0082725F" w:rsidRPr="00384509" w:rsidRDefault="0082725F" w:rsidP="003A7D85">
      <w:pPr>
        <w:spacing w:after="0" w:line="360" w:lineRule="auto"/>
        <w:jc w:val="both"/>
        <w:rPr>
          <w:rFonts w:ascii="Georgia" w:eastAsia="Times New Roman" w:hAnsi="Georgia" w:cs="Times New Roman"/>
          <w:b/>
          <w:color w:val="1D2129"/>
          <w:lang w:eastAsia="ru-RU"/>
        </w:rPr>
      </w:pPr>
      <w:r w:rsidRPr="00384509">
        <w:rPr>
          <w:rFonts w:ascii="Georgia" w:eastAsia="Times New Roman" w:hAnsi="Georgia" w:cs="Times New Roman"/>
          <w:b/>
          <w:color w:val="1D2129"/>
          <w:lang w:eastAsia="ru-RU"/>
        </w:rPr>
        <w:t>А поэтому, чтобы договариваться с работодателем о выплате дополнительных сумм при увольнении по соглашению сторон, рекомендую:</w:t>
      </w:r>
    </w:p>
    <w:p w:rsidR="0082725F" w:rsidRDefault="0082725F" w:rsidP="003A7D85">
      <w:pPr>
        <w:spacing w:after="0" w:line="360" w:lineRule="auto"/>
        <w:jc w:val="both"/>
        <w:rPr>
          <w:rFonts w:ascii="Georgia" w:eastAsia="Times New Roman" w:hAnsi="Georgia" w:cs="Times New Roman"/>
          <w:color w:val="1D2129"/>
          <w:lang w:eastAsia="ru-RU"/>
        </w:rPr>
      </w:pPr>
    </w:p>
    <w:p w:rsidR="0082725F" w:rsidRDefault="0082725F" w:rsidP="003A7D85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Georgia" w:eastAsia="Times New Roman" w:hAnsi="Georgia" w:cs="Times New Roman"/>
          <w:color w:val="1D2129"/>
          <w:lang w:eastAsia="ru-RU"/>
        </w:rPr>
      </w:pPr>
      <w:r>
        <w:rPr>
          <w:rFonts w:ascii="Georgia" w:eastAsia="Times New Roman" w:hAnsi="Georgia" w:cs="Times New Roman"/>
          <w:color w:val="1D2129"/>
          <w:lang w:eastAsia="ru-RU"/>
        </w:rPr>
        <w:t>Узнать, а предусмотрены ли дополнительные выплаты при увольнении в локально нормативном акте работодателя, трудовом договоре или коллективном договоре;</w:t>
      </w:r>
    </w:p>
    <w:p w:rsidR="0082725F" w:rsidRDefault="0082725F" w:rsidP="003A7D85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Georgia" w:eastAsia="Times New Roman" w:hAnsi="Georgia" w:cs="Times New Roman"/>
          <w:color w:val="1D2129"/>
          <w:lang w:eastAsia="ru-RU"/>
        </w:rPr>
      </w:pPr>
      <w:r>
        <w:rPr>
          <w:rFonts w:ascii="Georgia" w:eastAsia="Times New Roman" w:hAnsi="Georgia" w:cs="Times New Roman"/>
          <w:color w:val="1D2129"/>
          <w:lang w:eastAsia="ru-RU"/>
        </w:rPr>
        <w:t>А дальше, до заключения Соглашения о расторжении трудового договора подписать дополнительное соглашение к трудовому договору, где предусмотреть возможность дополнительных выплат при увольнении;</w:t>
      </w:r>
    </w:p>
    <w:p w:rsidR="0082725F" w:rsidRPr="00451489" w:rsidRDefault="0082725F" w:rsidP="003A7D85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Georgia" w:eastAsia="Times New Roman" w:hAnsi="Georgia" w:cs="Times New Roman"/>
          <w:color w:val="1D2129"/>
          <w:lang w:eastAsia="ru-RU"/>
        </w:rPr>
      </w:pPr>
      <w:r w:rsidRPr="00451489">
        <w:rPr>
          <w:rFonts w:ascii="Georgia" w:eastAsia="Times New Roman" w:hAnsi="Georgia" w:cs="Times New Roman"/>
          <w:color w:val="1D2129"/>
          <w:lang w:eastAsia="ru-RU"/>
        </w:rPr>
        <w:t>И только после этого подписывать Соглашение о расторжении трудового договора по соглашению сторон. И считаю, что и эти условия можно продублировать и в этом Соглашение.</w:t>
      </w:r>
    </w:p>
    <w:p w:rsidR="005057AF" w:rsidRDefault="005057AF" w:rsidP="003A7D85">
      <w:pPr>
        <w:shd w:val="clear" w:color="auto" w:fill="FFFFFF"/>
        <w:spacing w:line="360" w:lineRule="auto"/>
        <w:jc w:val="both"/>
        <w:rPr>
          <w:rFonts w:ascii="Georgia" w:eastAsia="Times New Roman" w:hAnsi="Georgia" w:cs="Times New Roman"/>
          <w:color w:val="1D2129"/>
          <w:lang w:eastAsia="ru-RU"/>
        </w:rPr>
      </w:pPr>
    </w:p>
    <w:p w:rsidR="00836ED5" w:rsidRPr="00AF69E2" w:rsidRDefault="00836ED5" w:rsidP="003A7D85">
      <w:pPr>
        <w:shd w:val="clear" w:color="auto" w:fill="FFFFFF"/>
        <w:spacing w:line="360" w:lineRule="auto"/>
        <w:jc w:val="both"/>
        <w:rPr>
          <w:rFonts w:ascii="Georgia" w:eastAsia="Times New Roman" w:hAnsi="Georgia" w:cs="Times New Roman"/>
          <w:color w:val="1D2129"/>
          <w:lang w:eastAsia="ru-RU"/>
        </w:rPr>
      </w:pPr>
      <w:r>
        <w:rPr>
          <w:rFonts w:ascii="Georgia" w:eastAsia="Times New Roman" w:hAnsi="Georgia" w:cs="Times New Roman"/>
          <w:color w:val="1D2129"/>
          <w:lang w:eastAsia="ru-RU"/>
        </w:rPr>
        <w:t>Можно ли исключить из этой схемы пункт с подписанием дополнительного соглашения к трудовому договору, то, как показывает практика, что в большинстве случаев так и происходит, но нужно помнить про риски, и в этом случае, тогда нужно точно знать, что в ЛНА работодателя или коллективном договоре такие выплаты предусмотрены.</w:t>
      </w:r>
    </w:p>
    <w:sectPr w:rsidR="00836ED5" w:rsidRPr="00AF69E2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6429C"/>
    <w:multiLevelType w:val="hybridMultilevel"/>
    <w:tmpl w:val="4EBE3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C76330"/>
    <w:rsid w:val="00384509"/>
    <w:rsid w:val="003866CA"/>
    <w:rsid w:val="003A7D85"/>
    <w:rsid w:val="003B7601"/>
    <w:rsid w:val="00451121"/>
    <w:rsid w:val="00451489"/>
    <w:rsid w:val="005057AF"/>
    <w:rsid w:val="005346CB"/>
    <w:rsid w:val="006A7D8B"/>
    <w:rsid w:val="00727425"/>
    <w:rsid w:val="0082725F"/>
    <w:rsid w:val="00836ED5"/>
    <w:rsid w:val="008E5CE1"/>
    <w:rsid w:val="008F4798"/>
    <w:rsid w:val="00AF69E2"/>
    <w:rsid w:val="00B51CFD"/>
    <w:rsid w:val="00C76330"/>
    <w:rsid w:val="00CA40AC"/>
    <w:rsid w:val="00D73798"/>
    <w:rsid w:val="00E8583C"/>
    <w:rsid w:val="00E85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76330"/>
  </w:style>
  <w:style w:type="character" w:styleId="a4">
    <w:name w:val="Hyperlink"/>
    <w:basedOn w:val="a0"/>
    <w:uiPriority w:val="99"/>
    <w:semiHidden/>
    <w:unhideWhenUsed/>
    <w:rsid w:val="00AF69E2"/>
    <w:rPr>
      <w:color w:val="0000FF"/>
      <w:u w:val="single"/>
    </w:rPr>
  </w:style>
  <w:style w:type="character" w:customStyle="1" w:styleId="4mg">
    <w:name w:val="_4_mg"/>
    <w:basedOn w:val="a0"/>
    <w:rsid w:val="00AF69E2"/>
  </w:style>
  <w:style w:type="character" w:customStyle="1" w:styleId="4mf">
    <w:name w:val="_4_mf"/>
    <w:basedOn w:val="a0"/>
    <w:rsid w:val="00AF69E2"/>
  </w:style>
  <w:style w:type="paragraph" w:styleId="a5">
    <w:name w:val="Balloon Text"/>
    <w:basedOn w:val="a"/>
    <w:link w:val="a6"/>
    <w:uiPriority w:val="99"/>
    <w:semiHidden/>
    <w:unhideWhenUsed/>
    <w:rsid w:val="00AF6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E2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E85A12"/>
    <w:rPr>
      <w:i/>
      <w:iCs/>
    </w:rPr>
  </w:style>
  <w:style w:type="character" w:styleId="a8">
    <w:name w:val="Strong"/>
    <w:basedOn w:val="a0"/>
    <w:uiPriority w:val="22"/>
    <w:qFormat/>
    <w:rsid w:val="00E85A12"/>
    <w:rPr>
      <w:b/>
      <w:bCs/>
    </w:rPr>
  </w:style>
  <w:style w:type="paragraph" w:styleId="a9">
    <w:name w:val="List Paragraph"/>
    <w:basedOn w:val="a"/>
    <w:uiPriority w:val="34"/>
    <w:qFormat/>
    <w:rsid w:val="008272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0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62817">
              <w:marLeft w:val="0"/>
              <w:marRight w:val="0"/>
              <w:marTop w:val="0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96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5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876701">
                          <w:marLeft w:val="51"/>
                          <w:marRight w:val="0"/>
                          <w:marTop w:val="5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61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0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0513">
                  <w:marLeft w:val="0"/>
                  <w:marRight w:val="0"/>
                  <w:marTop w:val="0"/>
                  <w:marBottom w:val="3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83298">
                  <w:marLeft w:val="0"/>
                  <w:marRight w:val="0"/>
                  <w:marTop w:val="0"/>
                  <w:marBottom w:val="3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51464">
                  <w:marLeft w:val="0"/>
                  <w:marRight w:val="0"/>
                  <w:marTop w:val="0"/>
                  <w:marBottom w:val="3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1777">
                  <w:marLeft w:val="0"/>
                  <w:marRight w:val="0"/>
                  <w:marTop w:val="0"/>
                  <w:marBottom w:val="3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37290">
                  <w:marLeft w:val="0"/>
                  <w:marRight w:val="0"/>
                  <w:marTop w:val="0"/>
                  <w:marBottom w:val="3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2842">
                  <w:marLeft w:val="0"/>
                  <w:marRight w:val="0"/>
                  <w:marTop w:val="0"/>
                  <w:marBottom w:val="3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0771">
                  <w:marLeft w:val="0"/>
                  <w:marRight w:val="0"/>
                  <w:marTop w:val="0"/>
                  <w:marBottom w:val="3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16470">
                  <w:marLeft w:val="0"/>
                  <w:marRight w:val="0"/>
                  <w:marTop w:val="0"/>
                  <w:marBottom w:val="3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0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41324516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14071675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e.garant.ru/71189618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/cabinet/stat/nw/2015-08-13/click/consultant/?dst=http%3A%2F%2Fbase.consultant.ru%2Fcons%2Fcgi%2Fonline.cgi%3Freq%3Ddoc%3Bbase%3DSOJ%3Bn%3D1249208%23utm_campaign%3Dnw%26utm_source%3Dconsultant%26utm_medium%3Demail%26utm_content%3Dbod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3889474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11</cp:revision>
  <dcterms:created xsi:type="dcterms:W3CDTF">2017-03-05T05:36:00Z</dcterms:created>
  <dcterms:modified xsi:type="dcterms:W3CDTF">2017-03-27T12:24:00Z</dcterms:modified>
</cp:coreProperties>
</file>