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lang w:eastAsia="ru-RU"/>
        </w:rPr>
        <w:t>Липецкий областной суд рассказал о нюансах увольнения по инициативе работодателя</w:t>
      </w:r>
    </w:p>
    <w:p w:rsidR="00765475" w:rsidRPr="00765475" w:rsidRDefault="00765475" w:rsidP="00765475">
      <w:pPr>
        <w:spacing w:after="0" w:line="240" w:lineRule="auto"/>
        <w:rPr>
          <w:rFonts w:ascii="Arial" w:eastAsia="Times New Roman" w:hAnsi="Arial" w:cs="Arial"/>
          <w:b/>
          <w:bCs/>
          <w:color w:val="000000"/>
          <w:sz w:val="13"/>
          <w:szCs w:val="13"/>
          <w:lang w:eastAsia="ru-RU"/>
        </w:rPr>
      </w:pPr>
      <w:hyperlink r:id="rId4" w:history="1">
        <w:r w:rsidRPr="00765475">
          <w:rPr>
            <w:rFonts w:ascii="Arial" w:eastAsia="Times New Roman" w:hAnsi="Arial" w:cs="Arial"/>
            <w:b/>
            <w:bCs/>
            <w:color w:val="3272C0"/>
            <w:sz w:val="13"/>
            <w:lang w:eastAsia="ru-RU"/>
          </w:rPr>
          <w:t>Справка о результатах обобщения судебной практики по гражданским делам о спорах, связанным с расторжением трудового договора по инициативе работодателя, рассмотренным судами Липецкой области в 2016 году</w:t>
        </w:r>
      </w:hyperlink>
    </w:p>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Липецкий областной суд обобщил материалы судебной практики по вопросам расторжения трудового договора по инициативе работодателя. Обращаем ваше внимание на наиболее интересные тезисы, прямо сформулированные судом в Справке или следующие из приведенных в ней судебных решений:</w:t>
      </w:r>
    </w:p>
    <w:tbl>
      <w:tblPr>
        <w:tblW w:w="10140" w:type="dxa"/>
        <w:tblCellMar>
          <w:left w:w="0" w:type="dxa"/>
          <w:right w:w="0" w:type="dxa"/>
        </w:tblCellMar>
        <w:tblLook w:val="04A0"/>
      </w:tblPr>
      <w:tblGrid>
        <w:gridCol w:w="5190"/>
        <w:gridCol w:w="981"/>
        <w:gridCol w:w="272"/>
        <w:gridCol w:w="3697"/>
      </w:tblGrid>
      <w:tr w:rsidR="00765475" w:rsidRPr="00765475" w:rsidTr="00765475">
        <w:tc>
          <w:tcPr>
            <w:tcW w:w="5160" w:type="dxa"/>
            <w:tcBorders>
              <w:top w:val="single" w:sz="4" w:space="0" w:color="000000"/>
              <w:left w:val="single" w:sz="4" w:space="0" w:color="000000"/>
              <w:bottom w:val="single" w:sz="4" w:space="0" w:color="000000"/>
              <w:right w:val="single" w:sz="4" w:space="0" w:color="000000"/>
            </w:tcBorders>
            <w:hideMark/>
          </w:tcPr>
          <w:p w:rsidR="00765475" w:rsidRPr="00765475" w:rsidRDefault="00765475" w:rsidP="00765475">
            <w:pPr>
              <w:spacing w:after="0" w:line="240" w:lineRule="auto"/>
              <w:jc w:val="center"/>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Тезис</w:t>
            </w:r>
          </w:p>
        </w:tc>
        <w:tc>
          <w:tcPr>
            <w:tcW w:w="4920" w:type="dxa"/>
            <w:gridSpan w:val="3"/>
            <w:tcBorders>
              <w:top w:val="single" w:sz="4" w:space="0" w:color="000000"/>
              <w:bottom w:val="single" w:sz="4" w:space="0" w:color="000000"/>
              <w:right w:val="single" w:sz="4" w:space="0" w:color="000000"/>
            </w:tcBorders>
            <w:hideMark/>
          </w:tcPr>
          <w:p w:rsidR="00765475" w:rsidRPr="00765475" w:rsidRDefault="00765475" w:rsidP="00765475">
            <w:pPr>
              <w:spacing w:after="0" w:line="240" w:lineRule="auto"/>
              <w:jc w:val="center"/>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Комментарий</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При увольнении в связи с сокращением работодатель не должен обосновывать исключение из штатного расписания какой-либо должности.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roofErr w:type="gramStart"/>
            <w:r w:rsidRPr="00765475">
              <w:rPr>
                <w:rFonts w:ascii="Arial" w:eastAsia="Times New Roman" w:hAnsi="Arial" w:cs="Arial"/>
                <w:bCs/>
                <w:color w:val="000000"/>
                <w:sz w:val="13"/>
                <w:szCs w:val="13"/>
                <w:lang w:eastAsia="ru-RU"/>
              </w:rPr>
              <w:t>Аналогичная точка зрения отражена в многочисленных судебных актах (см., например, определения Челябинского областного суда </w:t>
            </w:r>
            <w:hyperlink r:id="rId5" w:history="1">
              <w:r w:rsidRPr="00765475">
                <w:rPr>
                  <w:rFonts w:ascii="Arial" w:eastAsia="Times New Roman" w:hAnsi="Arial" w:cs="Arial"/>
                  <w:bCs/>
                  <w:color w:val="3272C0"/>
                  <w:sz w:val="13"/>
                  <w:lang w:eastAsia="ru-RU"/>
                </w:rPr>
                <w:t>от 21.09.2015 N 11-9886/2015</w:t>
              </w:r>
            </w:hyperlink>
            <w:r w:rsidRPr="00765475">
              <w:rPr>
                <w:rFonts w:ascii="Arial" w:eastAsia="Times New Roman" w:hAnsi="Arial" w:cs="Arial"/>
                <w:bCs/>
                <w:color w:val="000000"/>
                <w:sz w:val="13"/>
                <w:szCs w:val="13"/>
                <w:lang w:eastAsia="ru-RU"/>
              </w:rPr>
              <w:t>, Тульского областного суда </w:t>
            </w:r>
            <w:hyperlink r:id="rId6" w:history="1">
              <w:r w:rsidRPr="00765475">
                <w:rPr>
                  <w:rFonts w:ascii="Arial" w:eastAsia="Times New Roman" w:hAnsi="Arial" w:cs="Arial"/>
                  <w:bCs/>
                  <w:color w:val="3272C0"/>
                  <w:sz w:val="13"/>
                  <w:lang w:eastAsia="ru-RU"/>
                </w:rPr>
                <w:t>от 09.06.2015 N 33-1668/2015</w:t>
              </w:r>
            </w:hyperlink>
            <w:r w:rsidRPr="00765475">
              <w:rPr>
                <w:rFonts w:ascii="Arial" w:eastAsia="Times New Roman" w:hAnsi="Arial" w:cs="Arial"/>
                <w:bCs/>
                <w:color w:val="000000"/>
                <w:sz w:val="13"/>
                <w:szCs w:val="13"/>
                <w:lang w:eastAsia="ru-RU"/>
              </w:rPr>
              <w:t>, Нижегородского областного суда </w:t>
            </w:r>
            <w:hyperlink r:id="rId7" w:history="1">
              <w:r w:rsidRPr="00765475">
                <w:rPr>
                  <w:rFonts w:ascii="Arial" w:eastAsia="Times New Roman" w:hAnsi="Arial" w:cs="Arial"/>
                  <w:bCs/>
                  <w:color w:val="3272C0"/>
                  <w:sz w:val="13"/>
                  <w:lang w:eastAsia="ru-RU"/>
                </w:rPr>
                <w:t>от 21.02.2017 N 33-1425/2017</w:t>
              </w:r>
            </w:hyperlink>
            <w:r w:rsidRPr="00765475">
              <w:rPr>
                <w:rFonts w:ascii="Arial" w:eastAsia="Times New Roman" w:hAnsi="Arial" w:cs="Arial"/>
                <w:bCs/>
                <w:color w:val="000000"/>
                <w:sz w:val="13"/>
                <w:szCs w:val="13"/>
                <w:lang w:eastAsia="ru-RU"/>
              </w:rPr>
              <w:t>, Верховного Суда Республики Дагестан </w:t>
            </w:r>
            <w:hyperlink r:id="rId8" w:history="1">
              <w:r w:rsidRPr="00765475">
                <w:rPr>
                  <w:rFonts w:ascii="Arial" w:eastAsia="Times New Roman" w:hAnsi="Arial" w:cs="Arial"/>
                  <w:bCs/>
                  <w:color w:val="3272C0"/>
                  <w:sz w:val="13"/>
                  <w:lang w:eastAsia="ru-RU"/>
                </w:rPr>
                <w:t>от 02.05.2017 N 33-2283/2017</w:t>
              </w:r>
            </w:hyperlink>
            <w:r w:rsidRPr="00765475">
              <w:rPr>
                <w:rFonts w:ascii="Arial" w:eastAsia="Times New Roman" w:hAnsi="Arial" w:cs="Arial"/>
                <w:bCs/>
                <w:color w:val="000000"/>
                <w:sz w:val="13"/>
                <w:szCs w:val="13"/>
                <w:lang w:eastAsia="ru-RU"/>
              </w:rPr>
              <w:t>, Московского областного суда </w:t>
            </w:r>
            <w:hyperlink r:id="rId9" w:history="1">
              <w:r w:rsidRPr="00765475">
                <w:rPr>
                  <w:rFonts w:ascii="Arial" w:eastAsia="Times New Roman" w:hAnsi="Arial" w:cs="Arial"/>
                  <w:bCs/>
                  <w:color w:val="3272C0"/>
                  <w:sz w:val="13"/>
                  <w:lang w:eastAsia="ru-RU"/>
                </w:rPr>
                <w:t>от 20.04.2016 N 33-10582/2016</w:t>
              </w:r>
            </w:hyperlink>
            <w:r w:rsidRPr="00765475">
              <w:rPr>
                <w:rFonts w:ascii="Arial" w:eastAsia="Times New Roman" w:hAnsi="Arial" w:cs="Arial"/>
                <w:bCs/>
                <w:color w:val="000000"/>
                <w:sz w:val="13"/>
                <w:szCs w:val="13"/>
                <w:lang w:eastAsia="ru-RU"/>
              </w:rPr>
              <w:t>).</w:t>
            </w:r>
            <w:proofErr w:type="gramEnd"/>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proofErr w:type="gramStart"/>
            <w:r w:rsidRPr="00765475">
              <w:rPr>
                <w:rFonts w:ascii="Arial" w:eastAsia="Times New Roman" w:hAnsi="Arial" w:cs="Arial"/>
                <w:b/>
                <w:bCs/>
                <w:color w:val="000000"/>
                <w:sz w:val="13"/>
                <w:szCs w:val="13"/>
                <w:lang w:eastAsia="ru-RU"/>
              </w:rPr>
              <w:t>Если при сокращении одной должности в штатное расписание включается другая, с расширенными по сравнению с предыдущей обязанностями, увольнение работника будет незаконным.</w:t>
            </w:r>
            <w:proofErr w:type="gramEnd"/>
            <w:r w:rsidRPr="00765475">
              <w:rPr>
                <w:rFonts w:ascii="Arial" w:eastAsia="Times New Roman" w:hAnsi="Arial" w:cs="Arial"/>
                <w:b/>
                <w:bCs/>
                <w:color w:val="000000"/>
                <w:sz w:val="13"/>
                <w:szCs w:val="13"/>
                <w:lang w:eastAsia="ru-RU"/>
              </w:rPr>
              <w:t xml:space="preserve"> В такой ситуации фактически речь идет об изменении условий трудового договора.</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Данный тезис представляется справедливым для такого расширения обязанностей, которое не предполагает изменения условия трудового договора о трудовой функции. В ином случае работодатель был бы поставлен в такое положение, при котором он без согласия работника не может ни изменить его должностные обязанности, ни исключить его должность из штатного расписания и ввести иную с </w:t>
            </w:r>
            <w:proofErr w:type="gramStart"/>
            <w:r w:rsidRPr="00765475">
              <w:rPr>
                <w:rFonts w:ascii="Arial" w:eastAsia="Times New Roman" w:hAnsi="Arial" w:cs="Arial"/>
                <w:bCs/>
                <w:color w:val="000000"/>
                <w:sz w:val="13"/>
                <w:szCs w:val="13"/>
                <w:lang w:eastAsia="ru-RU"/>
              </w:rPr>
              <w:t>соответствующими</w:t>
            </w:r>
            <w:proofErr w:type="gramEnd"/>
            <w:r w:rsidRPr="00765475">
              <w:rPr>
                <w:rFonts w:ascii="Arial" w:eastAsia="Times New Roman" w:hAnsi="Arial" w:cs="Arial"/>
                <w:bCs/>
                <w:color w:val="000000"/>
                <w:sz w:val="13"/>
                <w:szCs w:val="13"/>
                <w:lang w:eastAsia="ru-RU"/>
              </w:rPr>
              <w:t xml:space="preserve"> изменения функционала. Отметим также, что в судебной практике не считается свидетельством фиктивности сокращения включение трудовых обязанностей по исключаемой из штатного расписания должности в перечень обязанностей работника, занимающего иную должность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например, определения Архангельского областного суда </w:t>
            </w:r>
            <w:hyperlink r:id="rId10" w:history="1">
              <w:r w:rsidRPr="00765475">
                <w:rPr>
                  <w:rFonts w:ascii="Arial" w:eastAsia="Times New Roman" w:hAnsi="Arial" w:cs="Arial"/>
                  <w:bCs/>
                  <w:color w:val="3272C0"/>
                  <w:sz w:val="13"/>
                  <w:lang w:eastAsia="ru-RU"/>
                </w:rPr>
                <w:t>от 19.01.2015 N 33-0210</w:t>
              </w:r>
            </w:hyperlink>
            <w:r w:rsidRPr="00765475">
              <w:rPr>
                <w:rFonts w:ascii="Arial" w:eastAsia="Times New Roman" w:hAnsi="Arial" w:cs="Arial"/>
                <w:bCs/>
                <w:color w:val="000000"/>
                <w:sz w:val="13"/>
                <w:szCs w:val="13"/>
                <w:lang w:eastAsia="ru-RU"/>
              </w:rPr>
              <w:t>, </w:t>
            </w:r>
            <w:hyperlink r:id="rId11" w:history="1">
              <w:r w:rsidRPr="00765475">
                <w:rPr>
                  <w:rFonts w:ascii="Arial" w:eastAsia="Times New Roman" w:hAnsi="Arial" w:cs="Arial"/>
                  <w:bCs/>
                  <w:color w:val="3272C0"/>
                  <w:sz w:val="13"/>
                  <w:lang w:eastAsia="ru-RU"/>
                </w:rPr>
                <w:t>от 26.10.2015 N 33-5358/2015</w:t>
              </w:r>
            </w:hyperlink>
            <w:r w:rsidRPr="00765475">
              <w:rPr>
                <w:rFonts w:ascii="Arial" w:eastAsia="Times New Roman" w:hAnsi="Arial" w:cs="Arial"/>
                <w:bCs/>
                <w:color w:val="000000"/>
                <w:sz w:val="13"/>
                <w:szCs w:val="13"/>
                <w:lang w:eastAsia="ru-RU"/>
              </w:rPr>
              <w:t>, Нижегородского областного суда </w:t>
            </w:r>
            <w:hyperlink r:id="rId12" w:history="1">
              <w:r w:rsidRPr="00765475">
                <w:rPr>
                  <w:rFonts w:ascii="Arial" w:eastAsia="Times New Roman" w:hAnsi="Arial" w:cs="Arial"/>
                  <w:bCs/>
                  <w:color w:val="3272C0"/>
                  <w:sz w:val="13"/>
                  <w:lang w:eastAsia="ru-RU"/>
                </w:rPr>
                <w:t>от 26.08.2014 N 33-7193</w:t>
              </w:r>
            </w:hyperlink>
            <w:r w:rsidRPr="00765475">
              <w:rPr>
                <w:rFonts w:ascii="Arial" w:eastAsia="Times New Roman" w:hAnsi="Arial" w:cs="Arial"/>
                <w:bCs/>
                <w:color w:val="000000"/>
                <w:sz w:val="13"/>
                <w:szCs w:val="13"/>
                <w:lang w:eastAsia="ru-RU"/>
              </w:rPr>
              <w:t>).</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Исключение сокращаемой должности из штатного расписания в день, следующий за днем увольнения занимавшего ее работника, является нарушением.</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Как отмечает сам Липецкий областной суд, в судебной практике имеется и иная точка зрения по данному вопросу, согласно которой должность должна исключаться из штатного расписания именно на следующий день после увольнения сокращаемых работников, поскольку в день увольнения трудовые отношения еще сохраняются, а значит, должна существовать и должность, которую занимает работник. </w:t>
            </w:r>
            <w:proofErr w:type="gramStart"/>
            <w:r w:rsidRPr="00765475">
              <w:rPr>
                <w:rFonts w:ascii="Arial" w:eastAsia="Times New Roman" w:hAnsi="Arial" w:cs="Arial"/>
                <w:bCs/>
                <w:color w:val="000000"/>
                <w:sz w:val="13"/>
                <w:szCs w:val="13"/>
                <w:lang w:eastAsia="ru-RU"/>
              </w:rPr>
              <w:t>В частности, такая позиция отражена в определениях Суда Еврейской автономной области </w:t>
            </w:r>
            <w:hyperlink r:id="rId13" w:history="1">
              <w:r w:rsidRPr="00765475">
                <w:rPr>
                  <w:rFonts w:ascii="Arial" w:eastAsia="Times New Roman" w:hAnsi="Arial" w:cs="Arial"/>
                  <w:bCs/>
                  <w:color w:val="3272C0"/>
                  <w:sz w:val="13"/>
                  <w:lang w:eastAsia="ru-RU"/>
                </w:rPr>
                <w:t>от 25.09.2015 N 33-517/2015</w:t>
              </w:r>
            </w:hyperlink>
            <w:r w:rsidRPr="00765475">
              <w:rPr>
                <w:rFonts w:ascii="Arial" w:eastAsia="Times New Roman" w:hAnsi="Arial" w:cs="Arial"/>
                <w:bCs/>
                <w:color w:val="000000"/>
                <w:sz w:val="13"/>
                <w:szCs w:val="13"/>
                <w:lang w:eastAsia="ru-RU"/>
              </w:rPr>
              <w:t>, Белгородского областного суда </w:t>
            </w:r>
            <w:hyperlink r:id="rId14" w:history="1">
              <w:r w:rsidRPr="00765475">
                <w:rPr>
                  <w:rFonts w:ascii="Arial" w:eastAsia="Times New Roman" w:hAnsi="Arial" w:cs="Arial"/>
                  <w:bCs/>
                  <w:color w:val="3272C0"/>
                  <w:sz w:val="13"/>
                  <w:lang w:eastAsia="ru-RU"/>
                </w:rPr>
                <w:t>от 09.12.2014 N 33-5012/2014</w:t>
              </w:r>
            </w:hyperlink>
            <w:r w:rsidRPr="00765475">
              <w:rPr>
                <w:rFonts w:ascii="Arial" w:eastAsia="Times New Roman" w:hAnsi="Arial" w:cs="Arial"/>
                <w:bCs/>
                <w:color w:val="000000"/>
                <w:sz w:val="13"/>
                <w:szCs w:val="13"/>
                <w:lang w:eastAsia="ru-RU"/>
              </w:rPr>
              <w:t>, Московского городского суда </w:t>
            </w:r>
            <w:hyperlink r:id="rId15" w:history="1">
              <w:r w:rsidRPr="00765475">
                <w:rPr>
                  <w:rFonts w:ascii="Arial" w:eastAsia="Times New Roman" w:hAnsi="Arial" w:cs="Arial"/>
                  <w:bCs/>
                  <w:color w:val="3272C0"/>
                  <w:sz w:val="13"/>
                  <w:lang w:eastAsia="ru-RU"/>
                </w:rPr>
                <w:t>от 14.04.2011 N 33-7225</w:t>
              </w:r>
            </w:hyperlink>
            <w:r w:rsidRPr="00765475">
              <w:rPr>
                <w:rFonts w:ascii="Arial" w:eastAsia="Times New Roman" w:hAnsi="Arial" w:cs="Arial"/>
                <w:bCs/>
                <w:color w:val="000000"/>
                <w:sz w:val="13"/>
                <w:szCs w:val="13"/>
                <w:lang w:eastAsia="ru-RU"/>
              </w:rPr>
              <w:t>, Тюменского областного суда </w:t>
            </w:r>
            <w:hyperlink r:id="rId16" w:history="1">
              <w:r w:rsidRPr="00765475">
                <w:rPr>
                  <w:rFonts w:ascii="Arial" w:eastAsia="Times New Roman" w:hAnsi="Arial" w:cs="Arial"/>
                  <w:bCs/>
                  <w:color w:val="3272C0"/>
                  <w:sz w:val="13"/>
                  <w:lang w:eastAsia="ru-RU"/>
                </w:rPr>
                <w:t>от 11.10.2010 N 33-4388/2010</w:t>
              </w:r>
            </w:hyperlink>
            <w:r w:rsidRPr="00765475">
              <w:rPr>
                <w:rFonts w:ascii="Arial" w:eastAsia="Times New Roman" w:hAnsi="Arial" w:cs="Arial"/>
                <w:bCs/>
                <w:color w:val="000000"/>
                <w:sz w:val="13"/>
                <w:szCs w:val="13"/>
                <w:lang w:eastAsia="ru-RU"/>
              </w:rPr>
              <w:t>).</w:t>
            </w:r>
            <w:proofErr w:type="gramEnd"/>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br/>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Подробнее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17" w:history="1">
              <w:r w:rsidRPr="00765475">
                <w:rPr>
                  <w:rFonts w:ascii="Arial" w:eastAsia="Times New Roman" w:hAnsi="Arial" w:cs="Arial"/>
                  <w:bCs/>
                  <w:color w:val="3272C0"/>
                  <w:sz w:val="13"/>
                  <w:lang w:eastAsia="ru-RU"/>
                </w:rPr>
                <w:t>ответ службы Правового консалтинга от 16.03.2016</w:t>
              </w:r>
            </w:hyperlink>
          </w:p>
        </w:tc>
      </w:tr>
      <w:tr w:rsidR="00765475" w:rsidRPr="00765475" w:rsidTr="00765475">
        <w:tc>
          <w:tcPr>
            <w:tcW w:w="5160" w:type="dxa"/>
            <w:vMerge w:val="restart"/>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Преимущественное право на оставление на работе не учитывается работодателем, если у него нет должностей, аналогичных сокращаемой. Сравнивать квалификацию и производительность работников можно только по сходным (одинаковым) должностям. Работодатель не обязан исследовать вопрос о преимущественном праве работника на оставление на работе, если его должность, исключенная из штатного расписания, была единственной.</w:t>
            </w:r>
          </w:p>
        </w:tc>
        <w:tc>
          <w:tcPr>
            <w:tcW w:w="4920" w:type="dxa"/>
            <w:gridSpan w:val="3"/>
            <w:tcBorders>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roofErr w:type="gramStart"/>
            <w:r w:rsidRPr="00765475">
              <w:rPr>
                <w:rFonts w:ascii="Arial" w:eastAsia="Times New Roman" w:hAnsi="Arial" w:cs="Arial"/>
                <w:bCs/>
                <w:color w:val="000000"/>
                <w:sz w:val="13"/>
                <w:szCs w:val="13"/>
                <w:lang w:eastAsia="ru-RU"/>
              </w:rPr>
              <w:t>В судебной практике действительно неоднократно подчеркивалось, что определение преимущественного права на оставление на работе не имеет смысла, когда из штатного расписания исключаются все штатные единицы по сокращаемой должности (см., например, определения Ростовского областного суда </w:t>
            </w:r>
            <w:hyperlink r:id="rId18" w:history="1">
              <w:r w:rsidRPr="00765475">
                <w:rPr>
                  <w:rFonts w:ascii="Arial" w:eastAsia="Times New Roman" w:hAnsi="Arial" w:cs="Arial"/>
                  <w:bCs/>
                  <w:color w:val="3272C0"/>
                  <w:sz w:val="13"/>
                  <w:lang w:eastAsia="ru-RU"/>
                </w:rPr>
                <w:t>от 18.01.2016 N 33-319/2016</w:t>
              </w:r>
            </w:hyperlink>
            <w:r w:rsidRPr="00765475">
              <w:rPr>
                <w:rFonts w:ascii="Arial" w:eastAsia="Times New Roman" w:hAnsi="Arial" w:cs="Arial"/>
                <w:bCs/>
                <w:color w:val="000000"/>
                <w:sz w:val="13"/>
                <w:szCs w:val="13"/>
                <w:lang w:eastAsia="ru-RU"/>
              </w:rPr>
              <w:t>, Московского городского суда </w:t>
            </w:r>
            <w:hyperlink r:id="rId19" w:history="1">
              <w:r w:rsidRPr="00765475">
                <w:rPr>
                  <w:rFonts w:ascii="Arial" w:eastAsia="Times New Roman" w:hAnsi="Arial" w:cs="Arial"/>
                  <w:bCs/>
                  <w:color w:val="3272C0"/>
                  <w:sz w:val="13"/>
                  <w:lang w:eastAsia="ru-RU"/>
                </w:rPr>
                <w:t>от 04.08.2015 N 33-24636/15</w:t>
              </w:r>
            </w:hyperlink>
            <w:r w:rsidRPr="00765475">
              <w:rPr>
                <w:rFonts w:ascii="Arial" w:eastAsia="Times New Roman" w:hAnsi="Arial" w:cs="Arial"/>
                <w:bCs/>
                <w:color w:val="000000"/>
                <w:sz w:val="13"/>
                <w:szCs w:val="13"/>
                <w:lang w:eastAsia="ru-RU"/>
              </w:rPr>
              <w:t>, Красноярского краевого суда </w:t>
            </w:r>
            <w:hyperlink r:id="rId20" w:history="1">
              <w:r w:rsidRPr="00765475">
                <w:rPr>
                  <w:rFonts w:ascii="Arial" w:eastAsia="Times New Roman" w:hAnsi="Arial" w:cs="Arial"/>
                  <w:bCs/>
                  <w:color w:val="3272C0"/>
                  <w:sz w:val="13"/>
                  <w:lang w:eastAsia="ru-RU"/>
                </w:rPr>
                <w:t>от 15.12.2014 N 33-11738</w:t>
              </w:r>
            </w:hyperlink>
            <w:r w:rsidRPr="00765475">
              <w:rPr>
                <w:rFonts w:ascii="Arial" w:eastAsia="Times New Roman" w:hAnsi="Arial" w:cs="Arial"/>
                <w:bCs/>
                <w:color w:val="000000"/>
                <w:sz w:val="13"/>
                <w:szCs w:val="13"/>
                <w:lang w:eastAsia="ru-RU"/>
              </w:rPr>
              <w:t>, Кемеровского областного суда </w:t>
            </w:r>
            <w:hyperlink r:id="rId21" w:history="1">
              <w:r w:rsidRPr="00765475">
                <w:rPr>
                  <w:rFonts w:ascii="Arial" w:eastAsia="Times New Roman" w:hAnsi="Arial" w:cs="Arial"/>
                  <w:bCs/>
                  <w:color w:val="3272C0"/>
                  <w:sz w:val="13"/>
                  <w:lang w:eastAsia="ru-RU"/>
                </w:rPr>
                <w:t>от 28.05.2013 N</w:t>
              </w:r>
              <w:proofErr w:type="gramEnd"/>
              <w:r w:rsidRPr="00765475">
                <w:rPr>
                  <w:rFonts w:ascii="Arial" w:eastAsia="Times New Roman" w:hAnsi="Arial" w:cs="Arial"/>
                  <w:bCs/>
                  <w:color w:val="3272C0"/>
                  <w:sz w:val="13"/>
                  <w:lang w:eastAsia="ru-RU"/>
                </w:rPr>
                <w:t xml:space="preserve"> 33-4854</w:t>
              </w:r>
            </w:hyperlink>
            <w:r w:rsidRPr="00765475">
              <w:rPr>
                <w:rFonts w:ascii="Arial" w:eastAsia="Times New Roman" w:hAnsi="Arial" w:cs="Arial"/>
                <w:bCs/>
                <w:color w:val="000000"/>
                <w:sz w:val="13"/>
                <w:szCs w:val="13"/>
                <w:lang w:eastAsia="ru-RU"/>
              </w:rPr>
              <w:t>).</w:t>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Рекомендуем:</w:t>
            </w:r>
          </w:p>
        </w:tc>
      </w:tr>
      <w:tr w:rsidR="00765475" w:rsidRPr="00765475" w:rsidTr="00765475">
        <w:tc>
          <w:tcPr>
            <w:tcW w:w="0" w:type="auto"/>
            <w:vMerge/>
            <w:tcBorders>
              <w:left w:val="single" w:sz="4" w:space="0" w:color="000000"/>
              <w:bottom w:val="single" w:sz="4" w:space="0" w:color="000000"/>
              <w:right w:val="single" w:sz="4" w:space="0" w:color="000000"/>
            </w:tcBorders>
            <w:vAlign w:val="center"/>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p>
        </w:tc>
        <w:tc>
          <w:tcPr>
            <w:tcW w:w="975" w:type="dxa"/>
            <w:tcBorders>
              <w:bottom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3945" w:type="dxa"/>
            <w:gridSpan w:val="2"/>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lang w:eastAsia="ru-RU"/>
              </w:rPr>
              <w:t>Энциклопедия решений</w:t>
            </w:r>
          </w:p>
          <w:p w:rsidR="00765475" w:rsidRPr="00765475" w:rsidRDefault="00765475" w:rsidP="00765475">
            <w:pPr>
              <w:spacing w:after="0" w:line="240" w:lineRule="auto"/>
              <w:rPr>
                <w:rFonts w:ascii="Arial" w:eastAsia="Times New Roman" w:hAnsi="Arial" w:cs="Arial"/>
                <w:bCs/>
                <w:color w:val="000000"/>
                <w:sz w:val="13"/>
                <w:szCs w:val="13"/>
                <w:lang w:eastAsia="ru-RU"/>
              </w:rPr>
            </w:pPr>
            <w:hyperlink r:id="rId22" w:history="1">
              <w:r w:rsidRPr="00765475">
                <w:rPr>
                  <w:rFonts w:ascii="Arial" w:eastAsia="Times New Roman" w:hAnsi="Arial" w:cs="Arial"/>
                  <w:bCs/>
                  <w:color w:val="3272C0"/>
                  <w:sz w:val="13"/>
                  <w:lang w:eastAsia="ru-RU"/>
                </w:rPr>
                <w:t>Определение круга работников, которых затронут мероприятия по сокращению численности или штата</w:t>
              </w:r>
            </w:hyperlink>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При сокращении одной из одноименных должностей с различными функциональными обязанностями и квалификационными требованиями определять преимущественное право работника на оставление на работе не требуется.</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Аналогичный тезис содержится, например, в определениях Самарского областного суда </w:t>
            </w:r>
            <w:hyperlink r:id="rId23" w:history="1">
              <w:r w:rsidRPr="00765475">
                <w:rPr>
                  <w:rFonts w:ascii="Arial" w:eastAsia="Times New Roman" w:hAnsi="Arial" w:cs="Arial"/>
                  <w:bCs/>
                  <w:color w:val="3272C0"/>
                  <w:sz w:val="13"/>
                  <w:lang w:eastAsia="ru-RU"/>
                </w:rPr>
                <w:t>от 20.12.2016 N 33-16556/2016</w:t>
              </w:r>
            </w:hyperlink>
            <w:r w:rsidRPr="00765475">
              <w:rPr>
                <w:rFonts w:ascii="Arial" w:eastAsia="Times New Roman" w:hAnsi="Arial" w:cs="Arial"/>
                <w:bCs/>
                <w:color w:val="000000"/>
                <w:sz w:val="13"/>
                <w:szCs w:val="13"/>
                <w:lang w:eastAsia="ru-RU"/>
              </w:rPr>
              <w:t>, Пензенского областного суда </w:t>
            </w:r>
            <w:hyperlink r:id="rId24" w:history="1">
              <w:r w:rsidRPr="00765475">
                <w:rPr>
                  <w:rFonts w:ascii="Arial" w:eastAsia="Times New Roman" w:hAnsi="Arial" w:cs="Arial"/>
                  <w:bCs/>
                  <w:color w:val="3272C0"/>
                  <w:sz w:val="13"/>
                  <w:lang w:eastAsia="ru-RU"/>
                </w:rPr>
                <w:t>от 16.02.2016 N 33-546/2016</w:t>
              </w:r>
            </w:hyperlink>
            <w:r w:rsidRPr="00765475">
              <w:rPr>
                <w:rFonts w:ascii="Arial" w:eastAsia="Times New Roman" w:hAnsi="Arial" w:cs="Arial"/>
                <w:bCs/>
                <w:color w:val="000000"/>
                <w:sz w:val="13"/>
                <w:szCs w:val="13"/>
                <w:lang w:eastAsia="ru-RU"/>
              </w:rPr>
              <w:t>.</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При определении преимущественного права на оставление на работе работодатель может не учитывать наличие у работника такой квалификации, которая не требуется для выполнения его трудовой функции.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
        </w:tc>
      </w:tr>
      <w:tr w:rsidR="00765475" w:rsidRPr="00765475" w:rsidTr="00765475">
        <w:tc>
          <w:tcPr>
            <w:tcW w:w="5160" w:type="dxa"/>
            <w:vMerge w:val="restart"/>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Работодатель не обязан предлагать увольняемым по сокращению штата работникам:</w:t>
            </w:r>
          </w:p>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 должности, занятые работниками, временно отсутствующими на работе;</w:t>
            </w:r>
          </w:p>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 должности, на которые до принятия работодателем решения о сокращении были приглашены в порядке перевода работники из другой организации;</w:t>
            </w:r>
          </w:p>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 должности, замещаемые совместителями.</w:t>
            </w:r>
          </w:p>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Такие должности не являются вакантными.</w:t>
            </w:r>
          </w:p>
        </w:tc>
        <w:tc>
          <w:tcPr>
            <w:tcW w:w="4920" w:type="dxa"/>
            <w:gridSpan w:val="3"/>
            <w:tcBorders>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Данный вывод также соответствует сложившейся судебной практике.</w:t>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br/>
            </w:r>
            <w:r w:rsidRPr="00765475">
              <w:rPr>
                <w:rFonts w:ascii="Arial" w:eastAsia="Times New Roman" w:hAnsi="Arial" w:cs="Arial"/>
                <w:bCs/>
                <w:color w:val="000000"/>
                <w:sz w:val="13"/>
                <w:szCs w:val="13"/>
                <w:lang w:eastAsia="ru-RU"/>
              </w:rPr>
              <w:br/>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Подробнее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w:t>
            </w:r>
          </w:p>
        </w:tc>
      </w:tr>
      <w:tr w:rsidR="00765475" w:rsidRPr="00765475" w:rsidTr="00765475">
        <w:tc>
          <w:tcPr>
            <w:tcW w:w="0" w:type="auto"/>
            <w:vMerge/>
            <w:tcBorders>
              <w:left w:val="single" w:sz="4" w:space="0" w:color="000000"/>
              <w:bottom w:val="single" w:sz="4" w:space="0" w:color="000000"/>
              <w:right w:val="single" w:sz="4" w:space="0" w:color="000000"/>
            </w:tcBorders>
            <w:vAlign w:val="center"/>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p>
        </w:tc>
        <w:tc>
          <w:tcPr>
            <w:tcW w:w="1245" w:type="dxa"/>
            <w:gridSpan w:val="2"/>
            <w:tcBorders>
              <w:bottom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pict>
                <v:shape id="_x0000_i1026" type="#_x0000_t75" alt="" style="width:24pt;height:24pt"/>
              </w:pict>
            </w:r>
          </w:p>
        </w:tc>
        <w:tc>
          <w:tcPr>
            <w:tcW w:w="3660" w:type="dxa"/>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lang w:eastAsia="ru-RU"/>
              </w:rPr>
              <w:t>Энциклопедия решений</w:t>
            </w:r>
          </w:p>
          <w:p w:rsidR="00765475" w:rsidRPr="00765475" w:rsidRDefault="00765475" w:rsidP="00765475">
            <w:pPr>
              <w:spacing w:after="0" w:line="240" w:lineRule="auto"/>
              <w:rPr>
                <w:rFonts w:ascii="Arial" w:eastAsia="Times New Roman" w:hAnsi="Arial" w:cs="Arial"/>
                <w:bCs/>
                <w:color w:val="000000"/>
                <w:sz w:val="13"/>
                <w:szCs w:val="13"/>
                <w:lang w:eastAsia="ru-RU"/>
              </w:rPr>
            </w:pPr>
            <w:hyperlink r:id="rId25" w:history="1">
              <w:r w:rsidRPr="00765475">
                <w:rPr>
                  <w:rFonts w:ascii="Arial" w:eastAsia="Times New Roman" w:hAnsi="Arial" w:cs="Arial"/>
                  <w:bCs/>
                  <w:color w:val="3272C0"/>
                  <w:sz w:val="13"/>
                  <w:lang w:eastAsia="ru-RU"/>
                </w:rPr>
                <w:t>Предложение вакансий работникам, которых затронули мероприятия по сокращению численности или штата</w:t>
              </w:r>
            </w:hyperlink>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Работодатель при сокращении не должен предлагать работнику вакантные должности, которые также подлежат сокращению.</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Аналогичный вывод встречается, например, в </w:t>
            </w:r>
            <w:hyperlink r:id="rId26" w:history="1">
              <w:r w:rsidRPr="00765475">
                <w:rPr>
                  <w:rFonts w:ascii="Arial" w:eastAsia="Times New Roman" w:hAnsi="Arial" w:cs="Arial"/>
                  <w:bCs/>
                  <w:color w:val="3272C0"/>
                  <w:sz w:val="13"/>
                  <w:lang w:eastAsia="ru-RU"/>
                </w:rPr>
                <w:t>определении</w:t>
              </w:r>
            </w:hyperlink>
            <w:r w:rsidRPr="00765475">
              <w:rPr>
                <w:rFonts w:ascii="Arial" w:eastAsia="Times New Roman" w:hAnsi="Arial" w:cs="Arial"/>
                <w:bCs/>
                <w:color w:val="000000"/>
                <w:sz w:val="13"/>
                <w:szCs w:val="13"/>
                <w:lang w:eastAsia="ru-RU"/>
              </w:rPr>
              <w:t> Астраханского областного суда от 24.04.2013 N 33-1193/2013.</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Если при сокращении штата работодатель, учитывая, что сокращаемых должностей больше, чем вакантных, по своему усмотрению определял, кому из работников предложить перевод на вакантные должности, увольнение в такой ситуации является правомерным. Право выбора, кому предложить вакантную должность, принадлежит работодателю, закон не обязывает работодателя в такой ситуации принимать во внимание преимущественное право работника на оставление на работе. Данное право учитывается только при определении подлежащего сокращению работника из числа нескольких, занимающих аналогичные должности.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roofErr w:type="gramStart"/>
            <w:r w:rsidRPr="00765475">
              <w:rPr>
                <w:rFonts w:ascii="Arial" w:eastAsia="Times New Roman" w:hAnsi="Arial" w:cs="Arial"/>
                <w:bCs/>
                <w:color w:val="000000"/>
                <w:sz w:val="13"/>
                <w:szCs w:val="13"/>
                <w:lang w:eastAsia="ru-RU"/>
              </w:rPr>
              <w:t>Точка зрения, в соответствии с которой работодатель вправе самостоятельно определять очередность предложения вакансий сокращаемым работникам, достаточно распространена в судебной практике (см., например, определения Московского городского суда </w:t>
            </w:r>
            <w:hyperlink r:id="rId27" w:history="1">
              <w:r w:rsidRPr="00765475">
                <w:rPr>
                  <w:rFonts w:ascii="Arial" w:eastAsia="Times New Roman" w:hAnsi="Arial" w:cs="Arial"/>
                  <w:bCs/>
                  <w:color w:val="3272C0"/>
                  <w:sz w:val="13"/>
                  <w:lang w:eastAsia="ru-RU"/>
                </w:rPr>
                <w:t>от 02.03.2016 N 33-7593/16</w:t>
              </w:r>
            </w:hyperlink>
            <w:r w:rsidRPr="00765475">
              <w:rPr>
                <w:rFonts w:ascii="Arial" w:eastAsia="Times New Roman" w:hAnsi="Arial" w:cs="Arial"/>
                <w:bCs/>
                <w:color w:val="000000"/>
                <w:sz w:val="13"/>
                <w:szCs w:val="13"/>
                <w:lang w:eastAsia="ru-RU"/>
              </w:rPr>
              <w:t>, Красноярского краевого суда от </w:t>
            </w:r>
            <w:hyperlink r:id="rId28" w:history="1">
              <w:r w:rsidRPr="00765475">
                <w:rPr>
                  <w:rFonts w:ascii="Arial" w:eastAsia="Times New Roman" w:hAnsi="Arial" w:cs="Arial"/>
                  <w:bCs/>
                  <w:color w:val="3272C0"/>
                  <w:sz w:val="13"/>
                  <w:lang w:eastAsia="ru-RU"/>
                </w:rPr>
                <w:t>11.11.2015 N 33-12424/2015</w:t>
              </w:r>
            </w:hyperlink>
            <w:r w:rsidRPr="00765475">
              <w:rPr>
                <w:rFonts w:ascii="Arial" w:eastAsia="Times New Roman" w:hAnsi="Arial" w:cs="Arial"/>
                <w:bCs/>
                <w:color w:val="000000"/>
                <w:sz w:val="13"/>
                <w:szCs w:val="13"/>
                <w:lang w:eastAsia="ru-RU"/>
              </w:rPr>
              <w:t>, Суда Ханты-Мансийского автономного округа </w:t>
            </w:r>
            <w:hyperlink r:id="rId29" w:history="1">
              <w:r w:rsidRPr="00765475">
                <w:rPr>
                  <w:rFonts w:ascii="Arial" w:eastAsia="Times New Roman" w:hAnsi="Arial" w:cs="Arial"/>
                  <w:bCs/>
                  <w:color w:val="3272C0"/>
                  <w:sz w:val="13"/>
                  <w:lang w:eastAsia="ru-RU"/>
                </w:rPr>
                <w:t>от 30.06.2015 N 33-2987/2015</w:t>
              </w:r>
            </w:hyperlink>
            <w:r w:rsidRPr="00765475">
              <w:rPr>
                <w:rFonts w:ascii="Arial" w:eastAsia="Times New Roman" w:hAnsi="Arial" w:cs="Arial"/>
                <w:bCs/>
                <w:color w:val="000000"/>
                <w:sz w:val="13"/>
                <w:szCs w:val="13"/>
                <w:lang w:eastAsia="ru-RU"/>
              </w:rPr>
              <w:t>, Ростовского областного суда </w:t>
            </w:r>
            <w:hyperlink r:id="rId30" w:history="1">
              <w:r w:rsidRPr="00765475">
                <w:rPr>
                  <w:rFonts w:ascii="Arial" w:eastAsia="Times New Roman" w:hAnsi="Arial" w:cs="Arial"/>
                  <w:bCs/>
                  <w:color w:val="3272C0"/>
                  <w:sz w:val="13"/>
                  <w:lang w:eastAsia="ru-RU"/>
                </w:rPr>
                <w:t>от 22.12.2011 N 33-17212/2011</w:t>
              </w:r>
            </w:hyperlink>
            <w:r w:rsidRPr="00765475">
              <w:rPr>
                <w:rFonts w:ascii="Arial" w:eastAsia="Times New Roman" w:hAnsi="Arial" w:cs="Arial"/>
                <w:bCs/>
                <w:color w:val="000000"/>
                <w:sz w:val="13"/>
                <w:szCs w:val="13"/>
                <w:lang w:eastAsia="ru-RU"/>
              </w:rPr>
              <w:t>).</w:t>
            </w:r>
            <w:proofErr w:type="gramEnd"/>
            <w:r w:rsidRPr="00765475">
              <w:rPr>
                <w:rFonts w:ascii="Arial" w:eastAsia="Times New Roman" w:hAnsi="Arial" w:cs="Arial"/>
                <w:bCs/>
                <w:color w:val="000000"/>
                <w:sz w:val="13"/>
                <w:szCs w:val="13"/>
                <w:lang w:eastAsia="ru-RU"/>
              </w:rPr>
              <w:t xml:space="preserve"> Отметим, однако, что такой подход противоречит правовой позиции Конституционного Суда РФ, который неоднократно указывал на наличие у работодателя обязанности предложить сокращаемому работнику одновременно с предупреждением о предстоящем увольнении все имеющиеся у него вакансии.</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Двухмесячный срок предупреждения о предстоящем увольнении в связи с сокращением начинает течь не со дня вручения работнику соответствующего уведомления, а со следующего дня.</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Данный вывод суд основывает на </w:t>
            </w:r>
            <w:hyperlink r:id="rId31" w:anchor="block_1402" w:history="1">
              <w:r w:rsidRPr="00765475">
                <w:rPr>
                  <w:rFonts w:ascii="Arial" w:eastAsia="Times New Roman" w:hAnsi="Arial" w:cs="Arial"/>
                  <w:bCs/>
                  <w:color w:val="3272C0"/>
                  <w:sz w:val="13"/>
                  <w:lang w:eastAsia="ru-RU"/>
                </w:rPr>
                <w:t>части второй ст. 14</w:t>
              </w:r>
            </w:hyperlink>
            <w:r w:rsidRPr="00765475">
              <w:rPr>
                <w:rFonts w:ascii="Arial" w:eastAsia="Times New Roman" w:hAnsi="Arial" w:cs="Arial"/>
                <w:bCs/>
                <w:color w:val="000000"/>
                <w:sz w:val="13"/>
                <w:szCs w:val="13"/>
                <w:lang w:eastAsia="ru-RU"/>
              </w:rPr>
              <w:t xml:space="preserve">ТК РФ. Согласно данной норме течение сроков, с которыми ТК РФ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 Однако существует и точка зрения о том, что данное правило не применяется при определении момента окончания срока предупреждения о сокращении. Подробнее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32" w:history="1">
              <w:r w:rsidRPr="00765475">
                <w:rPr>
                  <w:rFonts w:ascii="Arial" w:eastAsia="Times New Roman" w:hAnsi="Arial" w:cs="Arial"/>
                  <w:bCs/>
                  <w:color w:val="3272C0"/>
                  <w:sz w:val="13"/>
                  <w:lang w:eastAsia="ru-RU"/>
                </w:rPr>
                <w:t>ответ службы Правового консалтинга от 01.08.2013</w:t>
              </w:r>
            </w:hyperlink>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В том случае, если работодатель уведомил работника о предстоящем увольнении в конкретную дату, но в указанную дату увольнение не произвел, он обязан заново уведомить работника о предстоящем расторжении трудового договора.</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Приведенный тезис согласуется с правовой позицией Конституционного Суда РФ, выраженной в </w:t>
            </w:r>
            <w:hyperlink r:id="rId33" w:history="1">
              <w:r w:rsidRPr="00765475">
                <w:rPr>
                  <w:rFonts w:ascii="Arial" w:eastAsia="Times New Roman" w:hAnsi="Arial" w:cs="Arial"/>
                  <w:bCs/>
                  <w:color w:val="3272C0"/>
                  <w:sz w:val="13"/>
                  <w:lang w:eastAsia="ru-RU"/>
                </w:rPr>
                <w:t>определении</w:t>
              </w:r>
            </w:hyperlink>
            <w:r w:rsidRPr="00765475">
              <w:rPr>
                <w:rFonts w:ascii="Arial" w:eastAsia="Times New Roman" w:hAnsi="Arial" w:cs="Arial"/>
                <w:bCs/>
                <w:color w:val="000000"/>
                <w:sz w:val="13"/>
                <w:szCs w:val="13"/>
                <w:lang w:eastAsia="ru-RU"/>
              </w:rPr>
              <w:t xml:space="preserve"> от 27.01.2011 N 13-О-О. В нем судьи указывают на невозможность произвольного продления работодателем срока предупреждения работника о предстоящем увольнении. </w:t>
            </w:r>
            <w:proofErr w:type="gramStart"/>
            <w:r w:rsidRPr="00765475">
              <w:rPr>
                <w:rFonts w:ascii="Arial" w:eastAsia="Times New Roman" w:hAnsi="Arial" w:cs="Arial"/>
                <w:bCs/>
                <w:color w:val="000000"/>
                <w:sz w:val="13"/>
                <w:szCs w:val="13"/>
                <w:lang w:eastAsia="ru-RU"/>
              </w:rPr>
              <w:t>Вместе с тем в практике судов общей юрисдикции указанная точка зрения Конституционного Суда РФ преимущественно игнорируется, а увольнение работника в связи с сокращением с пропуском срока, определенного в уведомлении, не рассматривается как основание для признания действий работодателя незаконными (см., например, подборку судебных актов в </w:t>
            </w:r>
            <w:hyperlink r:id="rId34" w:anchor="block_25" w:history="1">
              <w:r w:rsidRPr="00765475">
                <w:rPr>
                  <w:rFonts w:ascii="Arial" w:eastAsia="Times New Roman" w:hAnsi="Arial" w:cs="Arial"/>
                  <w:bCs/>
                  <w:color w:val="3272C0"/>
                  <w:sz w:val="13"/>
                  <w:lang w:eastAsia="ru-RU"/>
                </w:rPr>
                <w:t>Энциклопедии судебной практики</w:t>
              </w:r>
            </w:hyperlink>
            <w:r w:rsidRPr="00765475">
              <w:rPr>
                <w:rFonts w:ascii="Arial" w:eastAsia="Times New Roman" w:hAnsi="Arial" w:cs="Arial"/>
                <w:bCs/>
                <w:color w:val="000000"/>
                <w:sz w:val="13"/>
                <w:szCs w:val="13"/>
                <w:lang w:eastAsia="ru-RU"/>
              </w:rPr>
              <w:t>, а также определения Челябинского областного суда </w:t>
            </w:r>
            <w:hyperlink r:id="rId35" w:history="1">
              <w:r w:rsidRPr="00765475">
                <w:rPr>
                  <w:rFonts w:ascii="Arial" w:eastAsia="Times New Roman" w:hAnsi="Arial" w:cs="Arial"/>
                  <w:bCs/>
                  <w:color w:val="3272C0"/>
                  <w:sz w:val="13"/>
                  <w:lang w:eastAsia="ru-RU"/>
                </w:rPr>
                <w:t>от 27.01.2015 N 11-880/2015</w:t>
              </w:r>
            </w:hyperlink>
            <w:r w:rsidRPr="00765475">
              <w:rPr>
                <w:rFonts w:ascii="Arial" w:eastAsia="Times New Roman" w:hAnsi="Arial" w:cs="Arial"/>
                <w:bCs/>
                <w:color w:val="000000"/>
                <w:sz w:val="13"/>
                <w:szCs w:val="13"/>
                <w:lang w:eastAsia="ru-RU"/>
              </w:rPr>
              <w:t>, Самарского областного</w:t>
            </w:r>
            <w:proofErr w:type="gramEnd"/>
            <w:r w:rsidRPr="00765475">
              <w:rPr>
                <w:rFonts w:ascii="Arial" w:eastAsia="Times New Roman" w:hAnsi="Arial" w:cs="Arial"/>
                <w:bCs/>
                <w:color w:val="000000"/>
                <w:sz w:val="13"/>
                <w:szCs w:val="13"/>
                <w:lang w:eastAsia="ru-RU"/>
              </w:rPr>
              <w:t xml:space="preserve"> суда </w:t>
            </w:r>
            <w:hyperlink r:id="rId36" w:history="1">
              <w:r w:rsidRPr="00765475">
                <w:rPr>
                  <w:rFonts w:ascii="Arial" w:eastAsia="Times New Roman" w:hAnsi="Arial" w:cs="Arial"/>
                  <w:bCs/>
                  <w:color w:val="3272C0"/>
                  <w:sz w:val="13"/>
                  <w:lang w:eastAsia="ru-RU"/>
                </w:rPr>
                <w:t>от 06.10.2014 N 33-9907/2014</w:t>
              </w:r>
            </w:hyperlink>
            <w:r w:rsidRPr="00765475">
              <w:rPr>
                <w:rFonts w:ascii="Arial" w:eastAsia="Times New Roman" w:hAnsi="Arial" w:cs="Arial"/>
                <w:bCs/>
                <w:color w:val="000000"/>
                <w:sz w:val="13"/>
                <w:szCs w:val="13"/>
                <w:lang w:eastAsia="ru-RU"/>
              </w:rPr>
              <w:t xml:space="preserve">). При этом судьи в данном вопросе могут встать на сторону </w:t>
            </w:r>
            <w:r w:rsidRPr="00765475">
              <w:rPr>
                <w:rFonts w:ascii="Arial" w:eastAsia="Times New Roman" w:hAnsi="Arial" w:cs="Arial"/>
                <w:bCs/>
                <w:color w:val="000000"/>
                <w:sz w:val="13"/>
                <w:szCs w:val="13"/>
                <w:lang w:eastAsia="ru-RU"/>
              </w:rPr>
              <w:lastRenderedPageBreak/>
              <w:t>работодателя даже в том случае, когда между датой уведомления работника о предстоящем увольнении и датой самого увольнения прошло более года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37" w:history="1">
              <w:r w:rsidRPr="00765475">
                <w:rPr>
                  <w:rFonts w:ascii="Arial" w:eastAsia="Times New Roman" w:hAnsi="Arial" w:cs="Arial"/>
                  <w:bCs/>
                  <w:color w:val="3272C0"/>
                  <w:sz w:val="13"/>
                  <w:lang w:eastAsia="ru-RU"/>
                </w:rPr>
                <w:t>определение</w:t>
              </w:r>
            </w:hyperlink>
            <w:r w:rsidRPr="00765475">
              <w:rPr>
                <w:rFonts w:ascii="Arial" w:eastAsia="Times New Roman" w:hAnsi="Arial" w:cs="Arial"/>
                <w:bCs/>
                <w:color w:val="000000"/>
                <w:sz w:val="13"/>
                <w:szCs w:val="13"/>
                <w:lang w:eastAsia="ru-RU"/>
              </w:rPr>
              <w:t> Ростовского областного суда от 12.11.2012 N 33-13164)</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lastRenderedPageBreak/>
              <w:t>Если работодатель в установленные законом сроки направил работнику заказное письмо, которым уведомил о предстоящем увольнении в связи с сокращением штата, однако работник корреспонденцию не получил, сведений об изменении своего адреса работодателю не сообщил, увольнение правомерно. Факт неполучения работником письма не свидетельствует о нарушении процедуры увольнения</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Если в течение срока предупреждения о предстоящем сокращении работник был уволен по другому основанию и восстановлен по решению суда, период со дня незаконного увольнения до дня восстановления на работе не учитывается при исчислении двухмесячного срока предупреждения о сокращении.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proofErr w:type="spellStart"/>
            <w:r w:rsidRPr="00765475">
              <w:rPr>
                <w:rFonts w:ascii="Arial" w:eastAsia="Times New Roman" w:hAnsi="Arial" w:cs="Arial"/>
                <w:b/>
                <w:bCs/>
                <w:color w:val="000000"/>
                <w:sz w:val="13"/>
                <w:szCs w:val="13"/>
                <w:lang w:eastAsia="ru-RU"/>
              </w:rPr>
              <w:t>Неуведомление</w:t>
            </w:r>
            <w:proofErr w:type="spellEnd"/>
            <w:r w:rsidRPr="00765475">
              <w:rPr>
                <w:rFonts w:ascii="Arial" w:eastAsia="Times New Roman" w:hAnsi="Arial" w:cs="Arial"/>
                <w:b/>
                <w:bCs/>
                <w:color w:val="000000"/>
                <w:sz w:val="13"/>
                <w:szCs w:val="13"/>
                <w:lang w:eastAsia="ru-RU"/>
              </w:rPr>
              <w:t xml:space="preserve"> службы занятости населения о предстоящем увольнении работника в связи с сокращением численности или штата при отсутствии других нарушений со стороны работодателя не является основанием для признания увольнения незаконным.</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Данный вывод отражает сложившуюся судебную практику.</w:t>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Подробнее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38" w:history="1">
              <w:r w:rsidRPr="00765475">
                <w:rPr>
                  <w:rFonts w:ascii="Arial" w:eastAsia="Times New Roman" w:hAnsi="Arial" w:cs="Arial"/>
                  <w:bCs/>
                  <w:color w:val="3272C0"/>
                  <w:sz w:val="13"/>
                  <w:lang w:eastAsia="ru-RU"/>
                </w:rPr>
                <w:t>материал</w:t>
              </w:r>
            </w:hyperlink>
            <w:r w:rsidRPr="00765475">
              <w:rPr>
                <w:rFonts w:ascii="Arial" w:eastAsia="Times New Roman" w:hAnsi="Arial" w:cs="Arial"/>
                <w:bCs/>
                <w:color w:val="000000"/>
                <w:sz w:val="13"/>
                <w:szCs w:val="13"/>
                <w:lang w:eastAsia="ru-RU"/>
              </w:rPr>
              <w:t> Энциклопедии решений "Уведомление профсоюза и службы занятости о предстоящем сокращении численности или штата работников"</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Несоответствие работника занимаемой должности определяет аттестационная комиссия, но решение о расторжении трудового договора по соответствующему основанию принимает работодатель. Работодатель вправе не увольнять работника, даже если комиссия выявила несоответствие работника занимаемой им должности.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Подробнее об увольнении по данному основанию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39" w:history="1">
              <w:r w:rsidRPr="00765475">
                <w:rPr>
                  <w:rFonts w:ascii="Arial" w:eastAsia="Times New Roman" w:hAnsi="Arial" w:cs="Arial"/>
                  <w:bCs/>
                  <w:color w:val="3272C0"/>
                  <w:sz w:val="13"/>
                  <w:lang w:eastAsia="ru-RU"/>
                </w:rPr>
                <w:t>материал</w:t>
              </w:r>
            </w:hyperlink>
            <w:r w:rsidRPr="00765475">
              <w:rPr>
                <w:rFonts w:ascii="Arial" w:eastAsia="Times New Roman" w:hAnsi="Arial" w:cs="Arial"/>
                <w:bCs/>
                <w:color w:val="000000"/>
                <w:sz w:val="13"/>
                <w:szCs w:val="13"/>
                <w:lang w:eastAsia="ru-RU"/>
              </w:rPr>
              <w:t> Энциклопедии решений "Увольнение в связи с несоответствием работника занимаемой должности или выполняемой работе".</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Нарушение трудовой дисциплины может рассматриваться в качестве повода к увольнению за неоднократное неисполнение трудовых обязанностей лишь в том случае, когда оно допущено работником после наложения на него предшествующего взыскания, что позволяет признать, что взыскание не оказало на него положительного воздействия.</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Аналогичный подход отражен, например, в определениях Верховного Суда РФ </w:t>
            </w:r>
            <w:hyperlink r:id="rId40" w:history="1">
              <w:r w:rsidRPr="00765475">
                <w:rPr>
                  <w:rFonts w:ascii="Arial" w:eastAsia="Times New Roman" w:hAnsi="Arial" w:cs="Arial"/>
                  <w:bCs/>
                  <w:color w:val="3272C0"/>
                  <w:sz w:val="13"/>
                  <w:lang w:eastAsia="ru-RU"/>
                </w:rPr>
                <w:t>от 24.07.2017 N 5-КГ17-96</w:t>
              </w:r>
            </w:hyperlink>
            <w:r w:rsidRPr="00765475">
              <w:rPr>
                <w:rFonts w:ascii="Arial" w:eastAsia="Times New Roman" w:hAnsi="Arial" w:cs="Arial"/>
                <w:bCs/>
                <w:color w:val="000000"/>
                <w:sz w:val="13"/>
                <w:szCs w:val="13"/>
                <w:lang w:eastAsia="ru-RU"/>
              </w:rPr>
              <w:t> и </w:t>
            </w:r>
            <w:hyperlink r:id="rId41" w:history="1">
              <w:r w:rsidRPr="00765475">
                <w:rPr>
                  <w:rFonts w:ascii="Arial" w:eastAsia="Times New Roman" w:hAnsi="Arial" w:cs="Arial"/>
                  <w:bCs/>
                  <w:color w:val="3272C0"/>
                  <w:sz w:val="13"/>
                  <w:lang w:eastAsia="ru-RU"/>
                </w:rPr>
                <w:t>от 11.04.2014 N 78-АПГ14-8</w:t>
              </w:r>
            </w:hyperlink>
            <w:r w:rsidRPr="00765475">
              <w:rPr>
                <w:rFonts w:ascii="Arial" w:eastAsia="Times New Roman" w:hAnsi="Arial" w:cs="Arial"/>
                <w:bCs/>
                <w:color w:val="000000"/>
                <w:sz w:val="13"/>
                <w:szCs w:val="13"/>
                <w:lang w:eastAsia="ru-RU"/>
              </w:rPr>
              <w:t>.</w:t>
            </w:r>
          </w:p>
          <w:p w:rsidR="00765475" w:rsidRPr="00765475" w:rsidRDefault="00765475" w:rsidP="00765475">
            <w:pPr>
              <w:spacing w:after="0" w:line="240" w:lineRule="auto"/>
              <w:rPr>
                <w:rFonts w:ascii="Arial" w:eastAsia="Times New Roman" w:hAnsi="Arial" w:cs="Arial"/>
                <w:bCs/>
                <w:color w:val="000000"/>
                <w:sz w:val="13"/>
                <w:szCs w:val="13"/>
                <w:lang w:eastAsia="ru-RU"/>
              </w:rPr>
            </w:pPr>
            <w:r w:rsidRPr="00765475">
              <w:rPr>
                <w:rFonts w:ascii="Arial" w:eastAsia="Times New Roman" w:hAnsi="Arial" w:cs="Arial"/>
                <w:bCs/>
                <w:color w:val="000000"/>
                <w:sz w:val="13"/>
                <w:szCs w:val="13"/>
                <w:lang w:eastAsia="ru-RU"/>
              </w:rPr>
              <w:t xml:space="preserve">Подробнее </w:t>
            </w:r>
            <w:proofErr w:type="gramStart"/>
            <w:r w:rsidRPr="00765475">
              <w:rPr>
                <w:rFonts w:ascii="Arial" w:eastAsia="Times New Roman" w:hAnsi="Arial" w:cs="Arial"/>
                <w:bCs/>
                <w:color w:val="000000"/>
                <w:sz w:val="13"/>
                <w:szCs w:val="13"/>
                <w:lang w:eastAsia="ru-RU"/>
              </w:rPr>
              <w:t>см</w:t>
            </w:r>
            <w:proofErr w:type="gramEnd"/>
            <w:r w:rsidRPr="00765475">
              <w:rPr>
                <w:rFonts w:ascii="Arial" w:eastAsia="Times New Roman" w:hAnsi="Arial" w:cs="Arial"/>
                <w:bCs/>
                <w:color w:val="000000"/>
                <w:sz w:val="13"/>
                <w:szCs w:val="13"/>
                <w:lang w:eastAsia="ru-RU"/>
              </w:rPr>
              <w:t>. </w:t>
            </w:r>
            <w:hyperlink r:id="rId42" w:history="1">
              <w:r w:rsidRPr="00765475">
                <w:rPr>
                  <w:rFonts w:ascii="Arial" w:eastAsia="Times New Roman" w:hAnsi="Arial" w:cs="Arial"/>
                  <w:bCs/>
                  <w:color w:val="3272C0"/>
                  <w:sz w:val="13"/>
                  <w:lang w:eastAsia="ru-RU"/>
                </w:rPr>
                <w:t>материал</w:t>
              </w:r>
            </w:hyperlink>
            <w:r w:rsidRPr="00765475">
              <w:rPr>
                <w:rFonts w:ascii="Arial" w:eastAsia="Times New Roman" w:hAnsi="Arial" w:cs="Arial"/>
                <w:bCs/>
                <w:color w:val="000000"/>
                <w:sz w:val="13"/>
                <w:szCs w:val="13"/>
                <w:lang w:eastAsia="ru-RU"/>
              </w:rPr>
              <w:t> Энциклопедии решений "Наличие дисциплинарного взыскания как условие увольнения за неоднократность".</w:t>
            </w:r>
          </w:p>
        </w:tc>
      </w:tr>
      <w:tr w:rsidR="00765475" w:rsidRPr="00765475" w:rsidTr="00765475">
        <w:tc>
          <w:tcPr>
            <w:tcW w:w="5160" w:type="dxa"/>
            <w:tcBorders>
              <w:left w:val="single" w:sz="4" w:space="0" w:color="000000"/>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r w:rsidRPr="00765475">
              <w:rPr>
                <w:rFonts w:ascii="Arial" w:eastAsia="Times New Roman" w:hAnsi="Arial" w:cs="Arial"/>
                <w:b/>
                <w:bCs/>
                <w:color w:val="000000"/>
                <w:sz w:val="13"/>
                <w:szCs w:val="13"/>
                <w:lang w:eastAsia="ru-RU"/>
              </w:rPr>
              <w:t>Работодатель вправе применить к работнику дисциплинарное взыскание и тогда, когда он до совершения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tc>
        <w:tc>
          <w:tcPr>
            <w:tcW w:w="4920" w:type="dxa"/>
            <w:gridSpan w:val="3"/>
            <w:tcBorders>
              <w:bottom w:val="single" w:sz="4" w:space="0" w:color="000000"/>
              <w:right w:val="single" w:sz="4" w:space="0" w:color="000000"/>
            </w:tcBorders>
            <w:hideMark/>
          </w:tcPr>
          <w:p w:rsidR="00765475" w:rsidRPr="00765475" w:rsidRDefault="00765475" w:rsidP="00765475">
            <w:pPr>
              <w:spacing w:after="0" w:line="240" w:lineRule="auto"/>
              <w:rPr>
                <w:rFonts w:ascii="Arial" w:eastAsia="Times New Roman" w:hAnsi="Arial" w:cs="Arial"/>
                <w:b/>
                <w:bCs/>
                <w:color w:val="000000"/>
                <w:sz w:val="13"/>
                <w:szCs w:val="13"/>
                <w:lang w:eastAsia="ru-RU"/>
              </w:rPr>
            </w:pPr>
          </w:p>
        </w:tc>
      </w:tr>
    </w:tbl>
    <w:p w:rsidR="0031550C" w:rsidRPr="00765475" w:rsidRDefault="00765475" w:rsidP="00672475">
      <w:r w:rsidRPr="00765475">
        <w:rPr>
          <w:rFonts w:ascii="Arial" w:eastAsia="Times New Roman" w:hAnsi="Arial" w:cs="Arial"/>
          <w:b/>
          <w:bCs/>
          <w:color w:val="000000"/>
          <w:sz w:val="13"/>
          <w:szCs w:val="13"/>
          <w:lang w:eastAsia="ru-RU"/>
        </w:rPr>
        <w:br/>
      </w:r>
      <w:r w:rsidRPr="00765475">
        <w:rPr>
          <w:rFonts w:ascii="Arial" w:eastAsia="Times New Roman" w:hAnsi="Arial" w:cs="Arial"/>
          <w:b/>
          <w:bCs/>
          <w:color w:val="000000"/>
          <w:sz w:val="13"/>
          <w:szCs w:val="13"/>
          <w:lang w:eastAsia="ru-RU"/>
        </w:rPr>
        <w:br/>
        <w:t>Система ГАРАНТ: </w:t>
      </w:r>
      <w:hyperlink r:id="rId43" w:anchor="ixzz4uWSMqrCQ" w:history="1">
        <w:r w:rsidRPr="00765475">
          <w:rPr>
            <w:rFonts w:ascii="Arial" w:eastAsia="Times New Roman" w:hAnsi="Arial" w:cs="Arial"/>
            <w:b/>
            <w:bCs/>
            <w:color w:val="003399"/>
            <w:sz w:val="13"/>
            <w:lang w:eastAsia="ru-RU"/>
          </w:rPr>
          <w:t>http://base.garant.ru/57401942/#ixzz4uWSMqrCQ</w:t>
        </w:r>
      </w:hyperlink>
    </w:p>
    <w:sectPr w:rsidR="0031550C" w:rsidRPr="00765475" w:rsidSect="00E43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characterSpacingControl w:val="doNotCompress"/>
  <w:compat/>
  <w:rsids>
    <w:rsidRoot w:val="0031550C"/>
    <w:rsid w:val="00060084"/>
    <w:rsid w:val="0031550C"/>
    <w:rsid w:val="00672475"/>
    <w:rsid w:val="00765475"/>
    <w:rsid w:val="00E43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9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550C"/>
    <w:rPr>
      <w:b/>
      <w:bCs/>
    </w:rPr>
  </w:style>
  <w:style w:type="character" w:styleId="a5">
    <w:name w:val="Hyperlink"/>
    <w:basedOn w:val="a0"/>
    <w:uiPriority w:val="99"/>
    <w:semiHidden/>
    <w:unhideWhenUsed/>
    <w:rsid w:val="0031550C"/>
    <w:rPr>
      <w:color w:val="0000FF"/>
      <w:u w:val="single"/>
    </w:rPr>
  </w:style>
  <w:style w:type="paragraph" w:customStyle="1" w:styleId="s74">
    <w:name w:val="s_74"/>
    <w:basedOn w:val="a"/>
    <w:rsid w:val="00765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65475"/>
  </w:style>
  <w:style w:type="paragraph" w:customStyle="1" w:styleId="s1">
    <w:name w:val="s_1"/>
    <w:basedOn w:val="a"/>
    <w:rsid w:val="007654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654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7226710">
      <w:bodyDiv w:val="1"/>
      <w:marLeft w:val="0"/>
      <w:marRight w:val="0"/>
      <w:marTop w:val="0"/>
      <w:marBottom w:val="0"/>
      <w:divBdr>
        <w:top w:val="none" w:sz="0" w:space="0" w:color="auto"/>
        <w:left w:val="none" w:sz="0" w:space="0" w:color="auto"/>
        <w:bottom w:val="none" w:sz="0" w:space="0" w:color="auto"/>
        <w:right w:val="none" w:sz="0" w:space="0" w:color="auto"/>
      </w:divBdr>
    </w:div>
    <w:div w:id="495457692">
      <w:bodyDiv w:val="1"/>
      <w:marLeft w:val="0"/>
      <w:marRight w:val="0"/>
      <w:marTop w:val="0"/>
      <w:marBottom w:val="0"/>
      <w:divBdr>
        <w:top w:val="none" w:sz="0" w:space="0" w:color="auto"/>
        <w:left w:val="none" w:sz="0" w:space="0" w:color="auto"/>
        <w:bottom w:val="none" w:sz="0" w:space="0" w:color="auto"/>
        <w:right w:val="none" w:sz="0" w:space="0" w:color="auto"/>
      </w:divBdr>
    </w:div>
    <w:div w:id="1119370426">
      <w:bodyDiv w:val="1"/>
      <w:marLeft w:val="0"/>
      <w:marRight w:val="0"/>
      <w:marTop w:val="0"/>
      <w:marBottom w:val="0"/>
      <w:divBdr>
        <w:top w:val="none" w:sz="0" w:space="0" w:color="auto"/>
        <w:left w:val="none" w:sz="0" w:space="0" w:color="auto"/>
        <w:bottom w:val="none" w:sz="0" w:space="0" w:color="auto"/>
        <w:right w:val="none" w:sz="0" w:space="0" w:color="auto"/>
      </w:divBdr>
    </w:div>
    <w:div w:id="1146162533">
      <w:bodyDiv w:val="1"/>
      <w:marLeft w:val="0"/>
      <w:marRight w:val="0"/>
      <w:marTop w:val="0"/>
      <w:marBottom w:val="0"/>
      <w:divBdr>
        <w:top w:val="none" w:sz="0" w:space="0" w:color="auto"/>
        <w:left w:val="none" w:sz="0" w:space="0" w:color="auto"/>
        <w:bottom w:val="none" w:sz="0" w:space="0" w:color="auto"/>
        <w:right w:val="none" w:sz="0" w:space="0" w:color="auto"/>
      </w:divBdr>
    </w:div>
    <w:div w:id="1157574891">
      <w:bodyDiv w:val="1"/>
      <w:marLeft w:val="0"/>
      <w:marRight w:val="0"/>
      <w:marTop w:val="0"/>
      <w:marBottom w:val="0"/>
      <w:divBdr>
        <w:top w:val="none" w:sz="0" w:space="0" w:color="auto"/>
        <w:left w:val="none" w:sz="0" w:space="0" w:color="auto"/>
        <w:bottom w:val="none" w:sz="0" w:space="0" w:color="auto"/>
        <w:right w:val="none" w:sz="0" w:space="0" w:color="auto"/>
      </w:divBdr>
    </w:div>
    <w:div w:id="1174690036">
      <w:bodyDiv w:val="1"/>
      <w:marLeft w:val="0"/>
      <w:marRight w:val="0"/>
      <w:marTop w:val="0"/>
      <w:marBottom w:val="0"/>
      <w:divBdr>
        <w:top w:val="none" w:sz="0" w:space="0" w:color="auto"/>
        <w:left w:val="none" w:sz="0" w:space="0" w:color="auto"/>
        <w:bottom w:val="none" w:sz="0" w:space="0" w:color="auto"/>
        <w:right w:val="none" w:sz="0" w:space="0" w:color="auto"/>
      </w:divBdr>
    </w:div>
    <w:div w:id="1300912979">
      <w:bodyDiv w:val="1"/>
      <w:marLeft w:val="0"/>
      <w:marRight w:val="0"/>
      <w:marTop w:val="0"/>
      <w:marBottom w:val="0"/>
      <w:divBdr>
        <w:top w:val="none" w:sz="0" w:space="0" w:color="auto"/>
        <w:left w:val="none" w:sz="0" w:space="0" w:color="auto"/>
        <w:bottom w:val="none" w:sz="0" w:space="0" w:color="auto"/>
        <w:right w:val="none" w:sz="0" w:space="0" w:color="auto"/>
      </w:divBdr>
    </w:div>
    <w:div w:id="19311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47001341/" TargetMode="External"/><Relationship Id="rId13" Type="http://schemas.openxmlformats.org/officeDocument/2006/relationships/hyperlink" Target="http://base.garant.ru/137312752/" TargetMode="External"/><Relationship Id="rId18" Type="http://schemas.openxmlformats.org/officeDocument/2006/relationships/hyperlink" Target="http://base.garant.ru/139216907/" TargetMode="External"/><Relationship Id="rId26" Type="http://schemas.openxmlformats.org/officeDocument/2006/relationships/hyperlink" Target="http://base.garant.ru/109934498/" TargetMode="External"/><Relationship Id="rId39" Type="http://schemas.openxmlformats.org/officeDocument/2006/relationships/hyperlink" Target="http://base.garant.ru/58072517/" TargetMode="External"/><Relationship Id="rId3" Type="http://schemas.openxmlformats.org/officeDocument/2006/relationships/webSettings" Target="webSettings.xml"/><Relationship Id="rId21" Type="http://schemas.openxmlformats.org/officeDocument/2006/relationships/hyperlink" Target="http://base.garant.ru/109707755/" TargetMode="External"/><Relationship Id="rId34" Type="http://schemas.openxmlformats.org/officeDocument/2006/relationships/hyperlink" Target="http://base.garant.ru/57589845/" TargetMode="External"/><Relationship Id="rId42" Type="http://schemas.openxmlformats.org/officeDocument/2006/relationships/hyperlink" Target="http://base.garant.ru/58072433/" TargetMode="External"/><Relationship Id="rId7" Type="http://schemas.openxmlformats.org/officeDocument/2006/relationships/hyperlink" Target="http://base.garant.ru/146119021/" TargetMode="External"/><Relationship Id="rId12" Type="http://schemas.openxmlformats.org/officeDocument/2006/relationships/hyperlink" Target="http://base.garant.ru/127004527/" TargetMode="External"/><Relationship Id="rId17" Type="http://schemas.openxmlformats.org/officeDocument/2006/relationships/hyperlink" Target="http://base.garant.ru/57398253/" TargetMode="External"/><Relationship Id="rId25" Type="http://schemas.openxmlformats.org/officeDocument/2006/relationships/hyperlink" Target="http://base.garant.ru/58072223/" TargetMode="External"/><Relationship Id="rId33" Type="http://schemas.openxmlformats.org/officeDocument/2006/relationships/hyperlink" Target="http://base.garant.ru/1799898/" TargetMode="External"/><Relationship Id="rId38" Type="http://schemas.openxmlformats.org/officeDocument/2006/relationships/hyperlink" Target="http://base.garant.ru/58072221/" TargetMode="External"/><Relationship Id="rId2" Type="http://schemas.openxmlformats.org/officeDocument/2006/relationships/settings" Target="settings.xml"/><Relationship Id="rId16" Type="http://schemas.openxmlformats.org/officeDocument/2006/relationships/hyperlink" Target="http://base.garant.ru/114812202/" TargetMode="External"/><Relationship Id="rId20" Type="http://schemas.openxmlformats.org/officeDocument/2006/relationships/hyperlink" Target="http://base.garant.ru/132371311/" TargetMode="External"/><Relationship Id="rId29" Type="http://schemas.openxmlformats.org/officeDocument/2006/relationships/hyperlink" Target="http://base.garant.ru/135131414/" TargetMode="External"/><Relationship Id="rId41" Type="http://schemas.openxmlformats.org/officeDocument/2006/relationships/hyperlink" Target="http://base.garant.ru/70648786/" TargetMode="External"/><Relationship Id="rId1" Type="http://schemas.openxmlformats.org/officeDocument/2006/relationships/styles" Target="styles.xml"/><Relationship Id="rId6" Type="http://schemas.openxmlformats.org/officeDocument/2006/relationships/hyperlink" Target="http://base.garant.ru/134965769/" TargetMode="External"/><Relationship Id="rId11" Type="http://schemas.openxmlformats.org/officeDocument/2006/relationships/hyperlink" Target="http://base.garant.ru/137723613/" TargetMode="External"/><Relationship Id="rId24" Type="http://schemas.openxmlformats.org/officeDocument/2006/relationships/hyperlink" Target="http://base.garant.ru/140262275/" TargetMode="External"/><Relationship Id="rId32" Type="http://schemas.openxmlformats.org/officeDocument/2006/relationships/hyperlink" Target="http://base.garant.ru/57652610/" TargetMode="External"/><Relationship Id="rId37" Type="http://schemas.openxmlformats.org/officeDocument/2006/relationships/hyperlink" Target="http://base.garant.ru/103544000/" TargetMode="External"/><Relationship Id="rId40" Type="http://schemas.openxmlformats.org/officeDocument/2006/relationships/hyperlink" Target="http://base.garant.ru/71756286/" TargetMode="External"/><Relationship Id="rId45" Type="http://schemas.openxmlformats.org/officeDocument/2006/relationships/theme" Target="theme/theme1.xml"/><Relationship Id="rId5" Type="http://schemas.openxmlformats.org/officeDocument/2006/relationships/hyperlink" Target="http://base.garant.ru/137243490/" TargetMode="External"/><Relationship Id="rId15" Type="http://schemas.openxmlformats.org/officeDocument/2006/relationships/hyperlink" Target="http://base.garant.ru/58169896/" TargetMode="External"/><Relationship Id="rId23" Type="http://schemas.openxmlformats.org/officeDocument/2006/relationships/hyperlink" Target="http://base.garant.ru/145355274/" TargetMode="External"/><Relationship Id="rId28" Type="http://schemas.openxmlformats.org/officeDocument/2006/relationships/hyperlink" Target="http://base.garant.ru/137916910/" TargetMode="External"/><Relationship Id="rId36" Type="http://schemas.openxmlformats.org/officeDocument/2006/relationships/hyperlink" Target="http://base.garant.ru/128856889/" TargetMode="External"/><Relationship Id="rId10" Type="http://schemas.openxmlformats.org/officeDocument/2006/relationships/hyperlink" Target="http://base.garant.ru/132335675/" TargetMode="External"/><Relationship Id="rId19" Type="http://schemas.openxmlformats.org/officeDocument/2006/relationships/hyperlink" Target="http://base.garant.ru/136194860/" TargetMode="External"/><Relationship Id="rId31" Type="http://schemas.openxmlformats.org/officeDocument/2006/relationships/hyperlink" Target="http://base.garant.ru/12125268/1/" TargetMode="External"/><Relationship Id="rId44" Type="http://schemas.openxmlformats.org/officeDocument/2006/relationships/fontTable" Target="fontTable.xml"/><Relationship Id="rId4" Type="http://schemas.openxmlformats.org/officeDocument/2006/relationships/hyperlink" Target="http://base.garant.ru/149006323/" TargetMode="External"/><Relationship Id="rId9" Type="http://schemas.openxmlformats.org/officeDocument/2006/relationships/hyperlink" Target="http://base.garant.ru/141696558/" TargetMode="External"/><Relationship Id="rId14" Type="http://schemas.openxmlformats.org/officeDocument/2006/relationships/hyperlink" Target="http://base.garant.ru/132432848/" TargetMode="External"/><Relationship Id="rId22" Type="http://schemas.openxmlformats.org/officeDocument/2006/relationships/hyperlink" Target="http://base.garant.ru/58072219/" TargetMode="External"/><Relationship Id="rId27" Type="http://schemas.openxmlformats.org/officeDocument/2006/relationships/hyperlink" Target="http://base.garant.ru/142540645/" TargetMode="External"/><Relationship Id="rId30" Type="http://schemas.openxmlformats.org/officeDocument/2006/relationships/hyperlink" Target="http://base.garant.ru/127049022/" TargetMode="External"/><Relationship Id="rId35" Type="http://schemas.openxmlformats.org/officeDocument/2006/relationships/hyperlink" Target="http://base.garant.ru/132690303/" TargetMode="External"/><Relationship Id="rId43" Type="http://schemas.openxmlformats.org/officeDocument/2006/relationships/hyperlink" Target="http://base.garant.ru/57401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2</cp:revision>
  <dcterms:created xsi:type="dcterms:W3CDTF">2017-10-04T07:34:00Z</dcterms:created>
  <dcterms:modified xsi:type="dcterms:W3CDTF">2017-10-04T07:34:00Z</dcterms:modified>
</cp:coreProperties>
</file>