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2E" w:rsidRDefault="00870C2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70C2E" w:rsidRDefault="00870C2E">
      <w:pPr>
        <w:pStyle w:val="ConsPlusNormal"/>
        <w:jc w:val="both"/>
        <w:outlineLvl w:val="0"/>
      </w:pPr>
    </w:p>
    <w:p w:rsidR="00870C2E" w:rsidRDefault="00870C2E">
      <w:pPr>
        <w:pStyle w:val="ConsPlusNormal"/>
        <w:outlineLvl w:val="0"/>
      </w:pPr>
      <w:r>
        <w:t>Зарегистрировано в Минюсте России 28 сентября 2016 г. N 43850</w:t>
      </w:r>
    </w:p>
    <w:p w:rsidR="00870C2E" w:rsidRDefault="00870C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Title"/>
        <w:jc w:val="center"/>
      </w:pPr>
      <w:r>
        <w:t>МИНИСТЕРСТВО ФИНАНСОВ РОССИЙСКОЙ ФЕДЕРАЦИИ</w:t>
      </w:r>
    </w:p>
    <w:p w:rsidR="00870C2E" w:rsidRDefault="00870C2E">
      <w:pPr>
        <w:pStyle w:val="ConsPlusTitle"/>
        <w:jc w:val="center"/>
      </w:pPr>
    </w:p>
    <w:p w:rsidR="00870C2E" w:rsidRDefault="00870C2E">
      <w:pPr>
        <w:pStyle w:val="ConsPlusTitle"/>
        <w:jc w:val="center"/>
      </w:pPr>
      <w:r>
        <w:t>ФЕДЕРАЛЬНАЯ НАЛОГОВАЯ СЛУЖБА</w:t>
      </w:r>
    </w:p>
    <w:p w:rsidR="00870C2E" w:rsidRDefault="00870C2E">
      <w:pPr>
        <w:pStyle w:val="ConsPlusTitle"/>
        <w:jc w:val="center"/>
      </w:pPr>
    </w:p>
    <w:p w:rsidR="00870C2E" w:rsidRDefault="00870C2E">
      <w:pPr>
        <w:pStyle w:val="ConsPlusTitle"/>
        <w:jc w:val="center"/>
      </w:pPr>
      <w:r>
        <w:t>ПРИКАЗ</w:t>
      </w:r>
    </w:p>
    <w:p w:rsidR="00870C2E" w:rsidRDefault="00870C2E">
      <w:pPr>
        <w:pStyle w:val="ConsPlusTitle"/>
        <w:jc w:val="center"/>
      </w:pPr>
      <w:r>
        <w:t>от 7 сентября 2016 г. N ММВ-7-11/477@</w:t>
      </w:r>
    </w:p>
    <w:p w:rsidR="00870C2E" w:rsidRDefault="00870C2E">
      <w:pPr>
        <w:pStyle w:val="ConsPlusTitle"/>
        <w:jc w:val="center"/>
      </w:pPr>
    </w:p>
    <w:p w:rsidR="00870C2E" w:rsidRDefault="00870C2E">
      <w:pPr>
        <w:pStyle w:val="ConsPlusTitle"/>
        <w:jc w:val="center"/>
      </w:pPr>
      <w:r>
        <w:t>ОБ УТВЕРЖДЕНИИ ФОРМЫ НАЛОГОВОГО УВЕДОМЛЕНИЯ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52</w:t>
        </w:r>
      </w:hyperlink>
      <w:r>
        <w:t xml:space="preserve"> части первой Налогового кодекса Российской Федерации (Собрание законодательства Российской Федерации, 1998, N 31, ст. 3824; 2016, N 27, ст. 4176), </w:t>
      </w:r>
      <w:hyperlink r:id="rId6" w:history="1">
        <w:r>
          <w:rPr>
            <w:color w:val="0000FF"/>
          </w:rPr>
          <w:t>пунктом 6 статьи 228</w:t>
        </w:r>
      </w:hyperlink>
      <w:r>
        <w:t xml:space="preserve">, </w:t>
      </w:r>
      <w:hyperlink r:id="rId7" w:history="1">
        <w:r>
          <w:rPr>
            <w:color w:val="0000FF"/>
          </w:rPr>
          <w:t>пунктом 3 статьи 363</w:t>
        </w:r>
      </w:hyperlink>
      <w:r>
        <w:t xml:space="preserve">, </w:t>
      </w:r>
      <w:hyperlink r:id="rId8" w:history="1">
        <w:r>
          <w:rPr>
            <w:color w:val="0000FF"/>
          </w:rPr>
          <w:t>пунктом 4 статьи 397</w:t>
        </w:r>
      </w:hyperlink>
      <w:r>
        <w:t xml:space="preserve">, </w:t>
      </w:r>
      <w:hyperlink r:id="rId9" w:history="1">
        <w:r>
          <w:rPr>
            <w:color w:val="0000FF"/>
          </w:rPr>
          <w:t>пунктом 2 статьи 409</w:t>
        </w:r>
      </w:hyperlink>
      <w:r>
        <w:t xml:space="preserve"> части второй Налогового кодекса Российской Федерации (Собрание законодательства Российской Федерации, 2000, N 32, ст. 3340; 2016, N 27, ст. 4182) приказываю:</w:t>
      </w:r>
    </w:p>
    <w:p w:rsidR="00870C2E" w:rsidRDefault="00870C2E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форму</w:t>
        </w:r>
      </w:hyperlink>
      <w:r>
        <w:t xml:space="preserve"> налогового уведомления согласно приложению к настоящему приказу.</w:t>
      </w:r>
    </w:p>
    <w:p w:rsidR="00870C2E" w:rsidRDefault="00870C2E">
      <w:pPr>
        <w:pStyle w:val="ConsPlusNormal"/>
        <w:ind w:firstLine="540"/>
        <w:jc w:val="both"/>
      </w:pPr>
      <w:r>
        <w:t>2. Формировать налоговое уведомление с использованием технических средств в автоматизированном режиме.</w:t>
      </w:r>
    </w:p>
    <w:p w:rsidR="00870C2E" w:rsidRDefault="00870C2E">
      <w:pPr>
        <w:pStyle w:val="ConsPlusNormal"/>
        <w:ind w:firstLine="540"/>
        <w:jc w:val="both"/>
      </w:pPr>
      <w:r>
        <w:t>3. К налоговому уведомлению, вручаемому налогоплательщику на бумажном носителе лично, формировать отрывной корешок, содержащий информацию о подлежащих уплате суммах налогов, в котором налогоплательщик расписывается при получении налогового уведомления.</w:t>
      </w:r>
    </w:p>
    <w:p w:rsidR="00870C2E" w:rsidRDefault="00870C2E">
      <w:pPr>
        <w:pStyle w:val="ConsPlusNormal"/>
        <w:ind w:firstLine="540"/>
        <w:jc w:val="both"/>
      </w:pPr>
      <w:r>
        <w:t>4. Формировать налоговое уведомление в зависимости от наличия у физического лица объектов налогообложения по одному налогу или нескольким налогам, подлежащим уплате на основании налогового уведомления, в том числе за предыдущие налоговые периоды при перерасчете сумм налогов.</w:t>
      </w:r>
    </w:p>
    <w:p w:rsidR="00870C2E" w:rsidRDefault="00870C2E">
      <w:pPr>
        <w:pStyle w:val="ConsPlusNormal"/>
        <w:ind w:firstLine="540"/>
        <w:jc w:val="both"/>
      </w:pPr>
      <w:r>
        <w:t>При отсутствии у физического лица объекта налогообложения по налогу, подлежащему уплате на основании налогового уведомления, раздел налогового уведомления по соответствующему налогу не формировать.</w:t>
      </w:r>
    </w:p>
    <w:p w:rsidR="00870C2E" w:rsidRDefault="00870C2E">
      <w:pPr>
        <w:pStyle w:val="ConsPlusNormal"/>
        <w:ind w:firstLine="540"/>
        <w:jc w:val="both"/>
      </w:pPr>
      <w:r>
        <w:t>5. При перерасчете суммы налога, указанной в ранее направленном налогоплательщику налоговом уведомлении, формировать раздел "Перерасчет налога" по соответствующему налогу, по которому произошли изменения.</w:t>
      </w:r>
    </w:p>
    <w:p w:rsidR="00870C2E" w:rsidRDefault="00870C2E">
      <w:pPr>
        <w:pStyle w:val="ConsPlusNormal"/>
        <w:ind w:firstLine="540"/>
        <w:jc w:val="both"/>
      </w:pPr>
      <w:r>
        <w:t>При этом перерасчет налога осуществлять в отношении объекта (объектов) налогообложения в целом по каждому:</w:t>
      </w:r>
    </w:p>
    <w:p w:rsidR="00870C2E" w:rsidRDefault="00870C2E">
      <w:pPr>
        <w:pStyle w:val="ConsPlusNormal"/>
        <w:ind w:firstLine="540"/>
        <w:jc w:val="both"/>
      </w:pPr>
      <w:r>
        <w:t>муниципальному образованию - по земельному налогу, налогу на имущество физических лиц;</w:t>
      </w:r>
    </w:p>
    <w:p w:rsidR="00870C2E" w:rsidRDefault="00870C2E">
      <w:pPr>
        <w:pStyle w:val="ConsPlusNormal"/>
        <w:ind w:firstLine="540"/>
        <w:jc w:val="both"/>
      </w:pPr>
      <w:r>
        <w:t>субъекту Российской Федерации - по транспортному налогу.</w:t>
      </w:r>
    </w:p>
    <w:p w:rsidR="00870C2E" w:rsidRDefault="00870C2E">
      <w:pPr>
        <w:pStyle w:val="ConsPlusNormal"/>
        <w:ind w:firstLine="540"/>
        <w:jc w:val="both"/>
      </w:pPr>
      <w:r>
        <w:t>6. При наличии налоговых льгот в размере суммы налогов, подлежащих уплате налогоплательщиком на основании налогового уведомления, в отношении всех видов имущества, признаваемого объектами налогообложения по транспортному налогу, земельному налогу, налогу на имущество физических лиц, налоговое уведомление не формировать.</w:t>
      </w:r>
    </w:p>
    <w:p w:rsidR="00870C2E" w:rsidRDefault="00870C2E">
      <w:pPr>
        <w:pStyle w:val="ConsPlusNormal"/>
        <w:ind w:firstLine="540"/>
        <w:jc w:val="both"/>
      </w:pPr>
      <w:r>
        <w:t xml:space="preserve">7. Налоговые уведомления направлять налогоплательщикам не позднее срока, указанного в </w:t>
      </w:r>
      <w:hyperlink r:id="rId10" w:history="1">
        <w:r>
          <w:rPr>
            <w:color w:val="0000FF"/>
          </w:rPr>
          <w:t>статье 52</w:t>
        </w:r>
      </w:hyperlink>
      <w:r>
        <w:t xml:space="preserve"> Налогового кодекса Российской Федерации, одновременно с платежными документами на уплату физическими лицами налогов в бюджетную систему Российской Федерации.</w:t>
      </w:r>
    </w:p>
    <w:p w:rsidR="00870C2E" w:rsidRDefault="00870C2E">
      <w:pPr>
        <w:pStyle w:val="ConsPlusNormal"/>
        <w:ind w:firstLine="540"/>
        <w:jc w:val="both"/>
      </w:pPr>
      <w:r>
        <w:t xml:space="preserve">8. 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Федеральной налоговой службы от 25.12.2014 N ММВ-7-11/673@ "Об утверждении формы налогового уведомления" (зарегистрирован Министерством юстиции Российской Федерации 04.02.2015, регистрационный номер 35860).</w:t>
      </w:r>
    </w:p>
    <w:p w:rsidR="00870C2E" w:rsidRDefault="00870C2E">
      <w:pPr>
        <w:pStyle w:val="ConsPlusNormal"/>
        <w:ind w:firstLine="540"/>
        <w:jc w:val="both"/>
      </w:pPr>
      <w:r>
        <w:t>9. Настоящий приказ вступает в силу с 1 апреля 2017 года.</w:t>
      </w:r>
    </w:p>
    <w:p w:rsidR="00870C2E" w:rsidRDefault="00870C2E">
      <w:pPr>
        <w:pStyle w:val="ConsPlusNormal"/>
        <w:ind w:firstLine="540"/>
        <w:jc w:val="both"/>
      </w:pPr>
      <w:r>
        <w:t xml:space="preserve">10. Контроль за исполнением настоящего приказа возложить на 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 </w:t>
      </w:r>
      <w:r>
        <w:lastRenderedPageBreak/>
        <w:t>соответствующий бюджет налога на доходы физических лиц, а также работу по мониторингу и анализу сведений о налоговой базе, структуре начислений, суммах, не поступивших в бюджет в связи с предоставлением налоговых льгот по имущественным налогам.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right"/>
      </w:pPr>
      <w:r>
        <w:t>Руководитель</w:t>
      </w:r>
    </w:p>
    <w:p w:rsidR="00870C2E" w:rsidRDefault="00870C2E">
      <w:pPr>
        <w:pStyle w:val="ConsPlusNormal"/>
        <w:jc w:val="right"/>
      </w:pPr>
      <w:r>
        <w:t>Федеральной налоговой службы</w:t>
      </w:r>
    </w:p>
    <w:p w:rsidR="00870C2E" w:rsidRDefault="00870C2E">
      <w:pPr>
        <w:pStyle w:val="ConsPlusNormal"/>
        <w:jc w:val="right"/>
      </w:pPr>
      <w:r>
        <w:t>М.В.МИШУСТИН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right"/>
        <w:outlineLvl w:val="0"/>
      </w:pPr>
      <w:r>
        <w:t>Утверждено</w:t>
      </w:r>
    </w:p>
    <w:p w:rsidR="00870C2E" w:rsidRDefault="00870C2E">
      <w:pPr>
        <w:pStyle w:val="ConsPlusNormal"/>
        <w:jc w:val="right"/>
      </w:pPr>
      <w:bookmarkStart w:id="0" w:name="_GoBack"/>
      <w:bookmarkEnd w:id="0"/>
      <w:r>
        <w:t>приказом ФНС России</w:t>
      </w:r>
    </w:p>
    <w:p w:rsidR="00870C2E" w:rsidRDefault="00870C2E">
      <w:pPr>
        <w:pStyle w:val="ConsPlusNormal"/>
        <w:jc w:val="right"/>
      </w:pPr>
      <w:r w:rsidRPr="00870C2E">
        <w:rPr>
          <w:highlight w:val="yellow"/>
        </w:rPr>
        <w:t>от 07.09.2016</w:t>
      </w:r>
      <w:r>
        <w:t xml:space="preserve"> N ММВ-7-11/477@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right"/>
      </w:pPr>
      <w:r>
        <w:t>Форма по КНД 1165025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nformat"/>
        <w:jc w:val="both"/>
      </w:pPr>
      <w:bookmarkStart w:id="1" w:name="P43"/>
      <w:bookmarkEnd w:id="1"/>
      <w:r>
        <w:t xml:space="preserve">                НАЛОГОВОЕ УВЕДОМЛЕНИЕ N ___ ОТ ________ г.</w:t>
      </w:r>
    </w:p>
    <w:p w:rsidR="00870C2E" w:rsidRDefault="00870C2E">
      <w:pPr>
        <w:pStyle w:val="ConsPlusNormal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964"/>
        <w:gridCol w:w="4422"/>
      </w:tblGrid>
      <w:tr w:rsidR="00870C2E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Ф.И.О.</w:t>
            </w:r>
          </w:p>
        </w:tc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  <w:jc w:val="both"/>
            </w:pPr>
            <w:r>
              <w:t>В случае возникновения вопросов, связанных с исчислением налога по конкретному объекту, а также, если Вы обнаружили в уведомлении недостоверную информацию, пожалуйста, сообщите об этом в налоговый орган (информацию о налоговых органах можно узнать на сайте www.nalog.ru "Адрес и платежные реквизиты Вашего налогового органа" или в контакт-центре ФНС России).</w:t>
            </w:r>
          </w:p>
        </w:tc>
      </w:tr>
      <w:tr w:rsidR="00870C2E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ИНН</w:t>
            </w: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Вам необходимо уплатить не позднее ____</w:t>
            </w:r>
          </w:p>
          <w:p w:rsidR="00870C2E" w:rsidRDefault="00870C2E">
            <w:pPr>
              <w:pStyle w:val="ConsPlusNormal"/>
            </w:pPr>
            <w:r>
              <w:t>следующие налоги:</w:t>
            </w: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руб.</w:t>
            </w: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Земельный налог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руб.</w:t>
            </w: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руб.</w:t>
            </w:r>
          </w:p>
        </w:tc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руб.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C2E" w:rsidRDefault="00870C2E">
            <w:pPr>
              <w:pStyle w:val="ConsPlusNormal"/>
              <w:jc w:val="both"/>
            </w:pPr>
            <w:r>
              <w:t>Контактный телефон: (___) ____________</w:t>
            </w:r>
          </w:p>
        </w:tc>
      </w:tr>
      <w:tr w:rsidR="00870C2E">
        <w:tblPrEx>
          <w:tblBorders>
            <w:right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  <w:r>
              <w:t>ВСЕГО К УПЛАТЕ: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  <w:r>
              <w:t>руб.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C2E" w:rsidRDefault="00870C2E">
            <w:pPr>
              <w:pStyle w:val="ConsPlusNormal"/>
            </w:pPr>
          </w:p>
        </w:tc>
      </w:tr>
      <w:tr w:rsidR="00870C2E">
        <w:tblPrEx>
          <w:tblBorders>
            <w:right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</w:tr>
      <w:tr w:rsidR="00870C2E">
        <w:tblPrEx>
          <w:tblBorders>
            <w:right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  <w:jc w:val="center"/>
            </w:pPr>
            <w:r>
              <w:t xml:space="preserve">Ф.И.О. </w:t>
            </w:r>
            <w:hyperlink w:anchor="P250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r w:rsidRPr="00870C2E">
              <w:rPr>
                <w:highlight w:val="yellow"/>
              </w:rPr>
              <w:t>адрес налогоплательщика</w:t>
            </w:r>
          </w:p>
        </w:tc>
      </w:tr>
      <w:tr w:rsidR="00870C2E">
        <w:tblPrEx>
          <w:tblBorders>
            <w:right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</w:tr>
      <w:tr w:rsidR="00870C2E">
        <w:tblPrEx>
          <w:tblBorders>
            <w:right w:val="single" w:sz="4" w:space="0" w:color="auto"/>
          </w:tblBorders>
        </w:tblPrEx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2E" w:rsidRDefault="00870C2E">
            <w:pPr>
              <w:pStyle w:val="ConsPlusNormal"/>
            </w:pPr>
          </w:p>
        </w:tc>
      </w:tr>
    </w:tbl>
    <w:p w:rsidR="00870C2E" w:rsidRDefault="00870C2E">
      <w:pPr>
        <w:pStyle w:val="ConsPlusNormal"/>
        <w:jc w:val="both"/>
      </w:pPr>
    </w:p>
    <w:p w:rsidR="00870C2E" w:rsidRDefault="00870C2E">
      <w:pPr>
        <w:sectPr w:rsidR="00870C2E" w:rsidSect="004857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2" w:type="dxa"/>
        <w:tblBorders>
          <w:left w:val="nil"/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"/>
        <w:gridCol w:w="360"/>
        <w:gridCol w:w="446"/>
        <w:gridCol w:w="360"/>
        <w:gridCol w:w="360"/>
        <w:gridCol w:w="524"/>
        <w:gridCol w:w="709"/>
        <w:gridCol w:w="435"/>
        <w:gridCol w:w="914"/>
        <w:gridCol w:w="360"/>
        <w:gridCol w:w="360"/>
        <w:gridCol w:w="451"/>
        <w:gridCol w:w="552"/>
        <w:gridCol w:w="382"/>
        <w:gridCol w:w="620"/>
        <w:gridCol w:w="431"/>
        <w:gridCol w:w="794"/>
        <w:gridCol w:w="778"/>
      </w:tblGrid>
      <w:tr w:rsidR="00870C2E">
        <w:tc>
          <w:tcPr>
            <w:tcW w:w="96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lastRenderedPageBreak/>
              <w:t>РАСЧЕТ ТРАНСПОРТНОГО НАЛОГА</w:t>
            </w:r>
          </w:p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база</w:t>
            </w:r>
          </w:p>
        </w:tc>
        <w:tc>
          <w:tcPr>
            <w:tcW w:w="88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Доля в праве</w:t>
            </w: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(руб.)</w:t>
            </w:r>
          </w:p>
        </w:tc>
        <w:tc>
          <w:tcPr>
            <w:tcW w:w="1634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Количество месяцев владения в году/12</w:t>
            </w:r>
          </w:p>
        </w:tc>
        <w:tc>
          <w:tcPr>
            <w:tcW w:w="1385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Повышающий коэффициент</w:t>
            </w: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Размер налоговых льгот (руб.)</w:t>
            </w:r>
          </w:p>
        </w:tc>
        <w:tc>
          <w:tcPr>
            <w:tcW w:w="794" w:type="dxa"/>
          </w:tcPr>
          <w:p w:rsidR="00870C2E" w:rsidRDefault="00870C2E">
            <w:pPr>
              <w:pStyle w:val="ConsPlusNormal"/>
              <w:jc w:val="center"/>
            </w:pPr>
            <w:r>
              <w:t>Сумма исчисленного налога (руб.)</w:t>
            </w:r>
          </w:p>
        </w:tc>
        <w:tc>
          <w:tcPr>
            <w:tcW w:w="77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70C2E" w:rsidRDefault="00870C2E">
            <w:pPr>
              <w:pStyle w:val="ConsPlusNormal"/>
              <w:jc w:val="center"/>
            </w:pPr>
            <w:r>
              <w:t>ЗОНА КОНВЕРТОВАЛЬНЫХ МЕТОК</w:t>
            </w:r>
          </w:p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t xml:space="preserve">Наименование объекта; регистрационный знак (номер); </w:t>
            </w:r>
            <w:hyperlink r:id="rId12" w:history="1">
              <w:r>
                <w:rPr>
                  <w:color w:val="0000FF"/>
                </w:rPr>
                <w:t>ОКТМО</w:t>
              </w:r>
            </w:hyperlink>
            <w:r>
              <w:t>; код налогового органа</w:t>
            </w: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88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634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385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ПЕРЕРАСЧЕТ ТРАНСПОРТНОГО НАЛОГА</w:t>
            </w:r>
          </w:p>
          <w:p w:rsidR="00870C2E" w:rsidRDefault="00870C2E">
            <w:pPr>
              <w:pStyle w:val="ConsPlusNormal"/>
              <w:jc w:val="center"/>
            </w:pPr>
            <w:r>
              <w:t xml:space="preserve">по налоговому уведомлению N ___ в рамках </w:t>
            </w:r>
            <w:hyperlink r:id="rId13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база</w:t>
            </w:r>
          </w:p>
        </w:tc>
        <w:tc>
          <w:tcPr>
            <w:tcW w:w="88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Доля в праве</w:t>
            </w: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(руб.)</w:t>
            </w:r>
          </w:p>
        </w:tc>
        <w:tc>
          <w:tcPr>
            <w:tcW w:w="1634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Количество месяцев владения в году/12</w:t>
            </w:r>
          </w:p>
        </w:tc>
        <w:tc>
          <w:tcPr>
            <w:tcW w:w="1385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Повышающий коэффициент</w:t>
            </w: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Размер налоговых льгот (руб.)</w:t>
            </w:r>
          </w:p>
        </w:tc>
        <w:tc>
          <w:tcPr>
            <w:tcW w:w="794" w:type="dxa"/>
          </w:tcPr>
          <w:p w:rsidR="00870C2E" w:rsidRDefault="00870C2E">
            <w:pPr>
              <w:pStyle w:val="ConsPlusNormal"/>
              <w:jc w:val="center"/>
            </w:pPr>
            <w:r>
              <w:t>Сумма исчисленного налога (руб.)</w:t>
            </w: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t xml:space="preserve">Наименование объекта; регистрационный знак (номер); </w:t>
            </w:r>
            <w:hyperlink r:id="rId14" w:history="1">
              <w:r>
                <w:rPr>
                  <w:color w:val="0000FF"/>
                </w:rPr>
                <w:t>ОКТМО</w:t>
              </w:r>
            </w:hyperlink>
            <w:r>
              <w:t>; код налогового органа</w:t>
            </w: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88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634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385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943" w:type="dxa"/>
            <w:gridSpan w:val="9"/>
            <w:tcBorders>
              <w:right w:val="nil"/>
            </w:tcBorders>
          </w:tcPr>
          <w:p w:rsidR="00870C2E" w:rsidRDefault="00870C2E">
            <w:pPr>
              <w:pStyle w:val="ConsPlusNormal"/>
            </w:pPr>
            <w:r>
              <w:t>Сумма налога к уплате, с учетом переплаты</w:t>
            </w:r>
          </w:p>
        </w:tc>
        <w:tc>
          <w:tcPr>
            <w:tcW w:w="3156" w:type="dxa"/>
            <w:gridSpan w:val="7"/>
            <w:tcBorders>
              <w:left w:val="nil"/>
            </w:tcBorders>
          </w:tcPr>
          <w:p w:rsidR="00870C2E" w:rsidRDefault="00870C2E">
            <w:pPr>
              <w:pStyle w:val="ConsPlusNormal"/>
            </w:pPr>
            <w:r>
              <w:t xml:space="preserve">руб., составляет по </w:t>
            </w:r>
            <w:hyperlink r:id="rId1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РАСЧЕТ ЗЕМЕЛЬНОГО НАЛОГА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 xml:space="preserve">Налоговая база (кадастровая </w:t>
            </w:r>
            <w:r>
              <w:lastRenderedPageBreak/>
              <w:t>стоимость) (руб.)</w:t>
            </w:r>
          </w:p>
        </w:tc>
        <w:tc>
          <w:tcPr>
            <w:tcW w:w="88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lastRenderedPageBreak/>
              <w:t>Доля в праве</w:t>
            </w: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Не облагаемая налогом сумма (руб.)</w:t>
            </w:r>
          </w:p>
        </w:tc>
        <w:tc>
          <w:tcPr>
            <w:tcW w:w="914" w:type="dxa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(%)</w:t>
            </w: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Количество месяцев владения в году/12</w:t>
            </w: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Коэффициент жилищного строите</w:t>
            </w:r>
            <w:r>
              <w:lastRenderedPageBreak/>
              <w:t>льства</w:t>
            </w: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lastRenderedPageBreak/>
              <w:t>Размер налоговых льгот (руб.)</w:t>
            </w:r>
          </w:p>
        </w:tc>
        <w:tc>
          <w:tcPr>
            <w:tcW w:w="794" w:type="dxa"/>
          </w:tcPr>
          <w:p w:rsidR="00870C2E" w:rsidRDefault="00870C2E">
            <w:pPr>
              <w:pStyle w:val="ConsPlusNormal"/>
              <w:jc w:val="center"/>
            </w:pPr>
            <w:r>
              <w:t>Сумма исчисленного налога (руб.)</w:t>
            </w:r>
          </w:p>
        </w:tc>
        <w:tc>
          <w:tcPr>
            <w:tcW w:w="778" w:type="dxa"/>
            <w:vMerge w:val="restart"/>
            <w:tcBorders>
              <w:top w:val="nil"/>
              <w:bottom w:val="nil"/>
              <w:right w:val="nil"/>
            </w:tcBorders>
          </w:tcPr>
          <w:p w:rsidR="00870C2E" w:rsidRDefault="00870C2E">
            <w:pPr>
              <w:pStyle w:val="ConsPlusNormal"/>
            </w:pPr>
          </w:p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lastRenderedPageBreak/>
              <w:t xml:space="preserve">Кадастровый номер; </w:t>
            </w:r>
            <w:hyperlink r:id="rId16" w:history="1">
              <w:r>
                <w:rPr>
                  <w:color w:val="0000FF"/>
                </w:rPr>
                <w:t>ОКТМО</w:t>
              </w:r>
            </w:hyperlink>
            <w:r>
              <w:t>; код налогового органа</w:t>
            </w:r>
          </w:p>
          <w:p w:rsidR="00870C2E" w:rsidRDefault="00870C2E">
            <w:pPr>
              <w:pStyle w:val="ConsPlusNormal"/>
            </w:pPr>
            <w:r>
              <w:t>Адрес места нахождения</w:t>
            </w: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690" w:type="dxa"/>
            <w:gridSpan w:val="4"/>
          </w:tcPr>
          <w:p w:rsidR="00870C2E" w:rsidRDefault="00870C2E">
            <w:pPr>
              <w:pStyle w:val="ConsPlusNormal"/>
            </w:pP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91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ПЕРЕРАСЧЕТ ЗЕМЕЛЬНОГО НАЛОГА</w:t>
            </w:r>
          </w:p>
          <w:p w:rsidR="00870C2E" w:rsidRDefault="00870C2E">
            <w:pPr>
              <w:pStyle w:val="ConsPlusNormal"/>
              <w:jc w:val="center"/>
            </w:pPr>
            <w:r>
              <w:t xml:space="preserve">по налоговому уведомлению N ___ в рамках </w:t>
            </w:r>
            <w:hyperlink r:id="rId17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78" w:type="dxa"/>
            <w:vMerge w:val="restart"/>
            <w:tcBorders>
              <w:top w:val="nil"/>
              <w:bottom w:val="nil"/>
            </w:tcBorders>
            <w:vAlign w:val="center"/>
          </w:tcPr>
          <w:p w:rsidR="00870C2E" w:rsidRDefault="00870C2E">
            <w:pPr>
              <w:pStyle w:val="ConsPlusNormal"/>
              <w:jc w:val="center"/>
            </w:pPr>
            <w:r>
              <w:t>ЗОНА КОНВЕРТОВАЛЬНЫХ МЕТОК</w:t>
            </w:r>
          </w:p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база (кадастровая стоимость) (руб.)</w:t>
            </w:r>
          </w:p>
        </w:tc>
        <w:tc>
          <w:tcPr>
            <w:tcW w:w="88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Доля в праве</w:t>
            </w: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Не облагаемая налогом сумма (руб.)</w:t>
            </w:r>
          </w:p>
        </w:tc>
        <w:tc>
          <w:tcPr>
            <w:tcW w:w="914" w:type="dxa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(%)</w:t>
            </w: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Количество месяцев владения в году/12</w:t>
            </w: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Коэффициент жилищного строительства</w:t>
            </w: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Размер налоговых льгот (руб.)</w:t>
            </w:r>
          </w:p>
        </w:tc>
        <w:tc>
          <w:tcPr>
            <w:tcW w:w="794" w:type="dxa"/>
          </w:tcPr>
          <w:p w:rsidR="00870C2E" w:rsidRDefault="00870C2E">
            <w:pPr>
              <w:pStyle w:val="ConsPlusNormal"/>
              <w:jc w:val="center"/>
            </w:pPr>
            <w:r>
              <w:t>Сумма исчисленного налога (руб.)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t xml:space="preserve">Кадастровый номер; </w:t>
            </w:r>
            <w:hyperlink r:id="rId18" w:history="1">
              <w:r>
                <w:rPr>
                  <w:color w:val="0000FF"/>
                </w:rPr>
                <w:t>ОКТМО</w:t>
              </w:r>
            </w:hyperlink>
            <w:r>
              <w:t>; код налогового органа</w:t>
            </w:r>
          </w:p>
          <w:p w:rsidR="00870C2E" w:rsidRDefault="00870C2E">
            <w:pPr>
              <w:pStyle w:val="ConsPlusNormal"/>
            </w:pPr>
            <w:r>
              <w:t>Адрес места нахождения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690" w:type="dxa"/>
            <w:gridSpan w:val="4"/>
          </w:tcPr>
          <w:p w:rsidR="00870C2E" w:rsidRDefault="00870C2E">
            <w:pPr>
              <w:pStyle w:val="ConsPlusNormal"/>
            </w:pP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91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943" w:type="dxa"/>
            <w:gridSpan w:val="9"/>
            <w:tcBorders>
              <w:right w:val="nil"/>
            </w:tcBorders>
          </w:tcPr>
          <w:p w:rsidR="00870C2E" w:rsidRDefault="00870C2E">
            <w:pPr>
              <w:pStyle w:val="ConsPlusNormal"/>
            </w:pPr>
            <w:r>
              <w:t>Сумма налога к уплате с учетом переплаты</w:t>
            </w:r>
          </w:p>
        </w:tc>
        <w:tc>
          <w:tcPr>
            <w:tcW w:w="3156" w:type="dxa"/>
            <w:gridSpan w:val="7"/>
            <w:tcBorders>
              <w:left w:val="nil"/>
            </w:tcBorders>
          </w:tcPr>
          <w:p w:rsidR="00870C2E" w:rsidRDefault="00870C2E">
            <w:pPr>
              <w:pStyle w:val="ConsPlusNormal"/>
            </w:pPr>
            <w:r>
              <w:t xml:space="preserve">руб. составляет по </w:t>
            </w:r>
            <w:hyperlink r:id="rId19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РАСЧЕТ НАЛОГА НА ИМУЩЕСТВО ФИЗИЧЕСКИХ ЛИЦ</w:t>
            </w: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1690" w:type="dxa"/>
            <w:gridSpan w:val="4"/>
          </w:tcPr>
          <w:p w:rsidR="00870C2E" w:rsidRDefault="00870C2E">
            <w:pPr>
              <w:pStyle w:val="ConsPlusNormal"/>
              <w:jc w:val="center"/>
            </w:pPr>
            <w:r>
              <w:t>Налоговая база (руб.)</w:t>
            </w:r>
          </w:p>
          <w:p w:rsidR="00870C2E" w:rsidRDefault="00870C2E">
            <w:pPr>
              <w:pStyle w:val="ConsPlusNormal"/>
              <w:jc w:val="center"/>
            </w:pPr>
            <w:r>
              <w:t>И - инвентаризацио</w:t>
            </w:r>
            <w:r>
              <w:lastRenderedPageBreak/>
              <w:t xml:space="preserve">нная стоимость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  <w:p w:rsidR="00870C2E" w:rsidRDefault="00870C2E">
            <w:pPr>
              <w:pStyle w:val="ConsPlusNormal"/>
              <w:jc w:val="center"/>
            </w:pPr>
            <w:r>
              <w:t xml:space="preserve">К - кадастровая стоимость </w:t>
            </w:r>
            <w:hyperlink w:anchor="P25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lastRenderedPageBreak/>
              <w:t>Доля в праве</w:t>
            </w:r>
          </w:p>
        </w:tc>
        <w:tc>
          <w:tcPr>
            <w:tcW w:w="914" w:type="dxa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(%)</w:t>
            </w: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Количество месяцев владения в году/12</w:t>
            </w: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 xml:space="preserve">Коэффициент к налоговому </w:t>
            </w:r>
            <w:r>
              <w:lastRenderedPageBreak/>
              <w:t>периоду</w:t>
            </w: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lastRenderedPageBreak/>
              <w:t>Размер налоговых льгот (руб.)</w:t>
            </w:r>
          </w:p>
        </w:tc>
        <w:tc>
          <w:tcPr>
            <w:tcW w:w="794" w:type="dxa"/>
          </w:tcPr>
          <w:p w:rsidR="00870C2E" w:rsidRDefault="00870C2E">
            <w:pPr>
              <w:pStyle w:val="ConsPlusNormal"/>
              <w:jc w:val="center"/>
            </w:pPr>
            <w:r>
              <w:t xml:space="preserve">Сумма исчисленного налога </w:t>
            </w:r>
            <w:hyperlink w:anchor="P25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lastRenderedPageBreak/>
              <w:t xml:space="preserve">Наименование объекта; кадастровый (условный) номер; </w:t>
            </w:r>
            <w:hyperlink r:id="rId20" w:history="1">
              <w:r>
                <w:rPr>
                  <w:color w:val="0000FF"/>
                </w:rPr>
                <w:t>ОКТМО</w:t>
              </w:r>
            </w:hyperlink>
            <w:r>
              <w:t>; код налогового органа</w:t>
            </w:r>
          </w:p>
          <w:p w:rsidR="00870C2E" w:rsidRDefault="00870C2E">
            <w:pPr>
              <w:pStyle w:val="ConsPlusNormal"/>
            </w:pPr>
            <w:r>
              <w:t>Адрес места нахождения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690" w:type="dxa"/>
            <w:gridSpan w:val="4"/>
          </w:tcPr>
          <w:p w:rsidR="00870C2E" w:rsidRDefault="00870C2E">
            <w:pPr>
              <w:pStyle w:val="ConsPlusNormal"/>
            </w:pP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91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ПЕРЕРАСЧЕТ НАЛОГА НА ИМУЩЕСТВО ФИЗИЧЕСКИХ ЛИЦ</w:t>
            </w:r>
          </w:p>
          <w:p w:rsidR="00870C2E" w:rsidRDefault="00870C2E">
            <w:pPr>
              <w:pStyle w:val="ConsPlusNormal"/>
              <w:jc w:val="center"/>
            </w:pPr>
            <w:r>
              <w:t xml:space="preserve">по налоговому уведомлению N ____ в рамках </w:t>
            </w:r>
            <w:hyperlink r:id="rId2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9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1690" w:type="dxa"/>
            <w:gridSpan w:val="4"/>
          </w:tcPr>
          <w:p w:rsidR="00870C2E" w:rsidRDefault="00870C2E">
            <w:pPr>
              <w:pStyle w:val="ConsPlusNormal"/>
              <w:jc w:val="center"/>
            </w:pPr>
            <w:r>
              <w:t>Налоговая база (руб.)</w:t>
            </w:r>
          </w:p>
          <w:p w:rsidR="00870C2E" w:rsidRDefault="00870C2E">
            <w:pPr>
              <w:pStyle w:val="ConsPlusNormal"/>
              <w:jc w:val="center"/>
            </w:pPr>
            <w:r>
              <w:t xml:space="preserve">И - инвентаризационная стоимость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  <w:p w:rsidR="00870C2E" w:rsidRDefault="00870C2E">
            <w:pPr>
              <w:pStyle w:val="ConsPlusNormal"/>
              <w:jc w:val="center"/>
            </w:pPr>
            <w:r>
              <w:t xml:space="preserve">К - кадастровая стоимость </w:t>
            </w:r>
            <w:hyperlink w:anchor="P25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Доля в праве</w:t>
            </w:r>
          </w:p>
        </w:tc>
        <w:tc>
          <w:tcPr>
            <w:tcW w:w="914" w:type="dxa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(%)</w:t>
            </w: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Количество месяцев владения в году/12</w:t>
            </w: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Коэффициент к налоговому периоду</w:t>
            </w: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Размер налоговых льгот (руб.)</w:t>
            </w:r>
          </w:p>
        </w:tc>
        <w:tc>
          <w:tcPr>
            <w:tcW w:w="794" w:type="dxa"/>
          </w:tcPr>
          <w:p w:rsidR="00870C2E" w:rsidRDefault="00870C2E">
            <w:pPr>
              <w:pStyle w:val="ConsPlusNormal"/>
              <w:jc w:val="center"/>
            </w:pPr>
            <w:r>
              <w:t xml:space="preserve">Сумма исчисленного налога </w:t>
            </w:r>
            <w:hyperlink w:anchor="P256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t xml:space="preserve">Наименование объекта; кадастровый (условный) номер; </w:t>
            </w:r>
            <w:hyperlink r:id="rId22" w:history="1">
              <w:r>
                <w:rPr>
                  <w:color w:val="0000FF"/>
                </w:rPr>
                <w:t>ОКТМО</w:t>
              </w:r>
            </w:hyperlink>
            <w:r>
              <w:t>; код налогового органа</w:t>
            </w:r>
          </w:p>
          <w:p w:rsidR="00870C2E" w:rsidRDefault="00870C2E">
            <w:pPr>
              <w:pStyle w:val="ConsPlusNormal"/>
            </w:pPr>
            <w:r>
              <w:t>Адрес места нахождения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35" w:type="dxa"/>
          </w:tcPr>
          <w:p w:rsidR="00870C2E" w:rsidRDefault="00870C2E">
            <w:pPr>
              <w:pStyle w:val="ConsPlusNormal"/>
            </w:pPr>
          </w:p>
        </w:tc>
        <w:tc>
          <w:tcPr>
            <w:tcW w:w="806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244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14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91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1171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934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051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03" w:type="dxa"/>
            <w:gridSpan w:val="10"/>
            <w:tcBorders>
              <w:right w:val="nil"/>
            </w:tcBorders>
          </w:tcPr>
          <w:p w:rsidR="00870C2E" w:rsidRDefault="00870C2E">
            <w:pPr>
              <w:pStyle w:val="ConsPlusNormal"/>
            </w:pPr>
            <w:r>
              <w:t>Сумма налога к уплате с учетом переплаты</w:t>
            </w:r>
          </w:p>
        </w:tc>
        <w:tc>
          <w:tcPr>
            <w:tcW w:w="2796" w:type="dxa"/>
            <w:gridSpan w:val="6"/>
            <w:tcBorders>
              <w:left w:val="nil"/>
            </w:tcBorders>
          </w:tcPr>
          <w:p w:rsidR="00870C2E" w:rsidRDefault="00870C2E">
            <w:pPr>
              <w:pStyle w:val="ConsPlusNormal"/>
            </w:pPr>
            <w:r>
              <w:t xml:space="preserve">руб. составляет по </w:t>
            </w:r>
            <w:hyperlink r:id="rId23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РАСЧЕТ НАЛОГА НА ДОХОДЫ ФИЗИЧЕСКИХ ЛИЦ, НЕ УДЕРЖАННОГО НАЛОГОВЫМ АГЕНТОМ</w:t>
            </w: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35" w:type="dxa"/>
          </w:tcPr>
          <w:p w:rsidR="00870C2E" w:rsidRDefault="00870C2E">
            <w:pPr>
              <w:pStyle w:val="ConsPlusNormal"/>
              <w:jc w:val="center"/>
            </w:pPr>
            <w:r>
              <w:t xml:space="preserve">Налоговый период </w:t>
            </w:r>
            <w:r>
              <w:lastRenderedPageBreak/>
              <w:t>(год)</w:t>
            </w:r>
          </w:p>
        </w:tc>
        <w:tc>
          <w:tcPr>
            <w:tcW w:w="1526" w:type="dxa"/>
            <w:gridSpan w:val="4"/>
          </w:tcPr>
          <w:p w:rsidR="00870C2E" w:rsidRDefault="00870C2E">
            <w:pPr>
              <w:pStyle w:val="ConsPlusNormal"/>
              <w:jc w:val="center"/>
            </w:pPr>
            <w:r>
              <w:lastRenderedPageBreak/>
              <w:t>ИНН налогового агента</w:t>
            </w:r>
          </w:p>
        </w:tc>
        <w:tc>
          <w:tcPr>
            <w:tcW w:w="1233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КПП налогового агента</w:t>
            </w:r>
          </w:p>
        </w:tc>
        <w:tc>
          <w:tcPr>
            <w:tcW w:w="1709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 xml:space="preserve">Сумма дохода, с которого не был удержан налог </w:t>
            </w:r>
            <w:r>
              <w:lastRenderedPageBreak/>
              <w:t>налоговым агентом (руб., коп.)</w:t>
            </w:r>
          </w:p>
        </w:tc>
        <w:tc>
          <w:tcPr>
            <w:tcW w:w="1363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lastRenderedPageBreak/>
              <w:t>Код дохода</w:t>
            </w:r>
          </w:p>
        </w:tc>
        <w:tc>
          <w:tcPr>
            <w:tcW w:w="1002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(%)</w:t>
            </w:r>
          </w:p>
        </w:tc>
        <w:tc>
          <w:tcPr>
            <w:tcW w:w="122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Сумма налога, подлежащ</w:t>
            </w:r>
            <w:r>
              <w:lastRenderedPageBreak/>
              <w:t>ая уплате (руб.)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lastRenderedPageBreak/>
              <w:t>Наименование налогового агента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35" w:type="dxa"/>
          </w:tcPr>
          <w:p w:rsidR="00870C2E" w:rsidRDefault="00870C2E">
            <w:pPr>
              <w:pStyle w:val="ConsPlusNormal"/>
            </w:pPr>
          </w:p>
        </w:tc>
        <w:tc>
          <w:tcPr>
            <w:tcW w:w="1526" w:type="dxa"/>
            <w:gridSpan w:val="4"/>
          </w:tcPr>
          <w:p w:rsidR="00870C2E" w:rsidRDefault="00870C2E">
            <w:pPr>
              <w:pStyle w:val="ConsPlusNormal"/>
            </w:pPr>
          </w:p>
        </w:tc>
        <w:tc>
          <w:tcPr>
            <w:tcW w:w="1233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709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363" w:type="dxa"/>
            <w:gridSpan w:val="3"/>
          </w:tcPr>
          <w:p w:rsidR="00870C2E" w:rsidRDefault="00870C2E">
            <w:pPr>
              <w:pStyle w:val="ConsPlusNormal"/>
            </w:pPr>
          </w:p>
        </w:tc>
        <w:tc>
          <w:tcPr>
            <w:tcW w:w="1002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22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  <w:jc w:val="center"/>
              <w:outlineLvl w:val="1"/>
            </w:pPr>
            <w:r>
              <w:t>ПЕРЕРАСЧЕТ НАЛОГА НА ДОХОДЫ ФИЗИЧЕСКИХ ЛИЦ, НЕ УДЕРЖАННОГО НАЛОГОВЫМ АГЕНТОМ по налоговому уведомлению N</w:t>
            </w: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35" w:type="dxa"/>
          </w:tcPr>
          <w:p w:rsidR="00870C2E" w:rsidRDefault="00870C2E">
            <w:pPr>
              <w:pStyle w:val="ConsPlusNormal"/>
              <w:jc w:val="center"/>
            </w:pPr>
            <w:r>
              <w:t>Налоговый период (год)</w:t>
            </w:r>
          </w:p>
        </w:tc>
        <w:tc>
          <w:tcPr>
            <w:tcW w:w="1526" w:type="dxa"/>
            <w:gridSpan w:val="4"/>
          </w:tcPr>
          <w:p w:rsidR="00870C2E" w:rsidRDefault="00870C2E">
            <w:pPr>
              <w:pStyle w:val="ConsPlusNormal"/>
              <w:jc w:val="center"/>
            </w:pPr>
            <w:r>
              <w:t>ИНН налогового агента</w:t>
            </w:r>
          </w:p>
        </w:tc>
        <w:tc>
          <w:tcPr>
            <w:tcW w:w="1233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КПП налогового агента</w:t>
            </w:r>
          </w:p>
        </w:tc>
        <w:tc>
          <w:tcPr>
            <w:tcW w:w="1709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Сумма дохода, с которого не был удержан налог налоговым агентом (руб., коп.)</w:t>
            </w:r>
          </w:p>
        </w:tc>
        <w:tc>
          <w:tcPr>
            <w:tcW w:w="1363" w:type="dxa"/>
            <w:gridSpan w:val="3"/>
          </w:tcPr>
          <w:p w:rsidR="00870C2E" w:rsidRDefault="00870C2E">
            <w:pPr>
              <w:pStyle w:val="ConsPlusNormal"/>
              <w:jc w:val="center"/>
            </w:pPr>
            <w:r>
              <w:t>Код дохода</w:t>
            </w:r>
          </w:p>
        </w:tc>
        <w:tc>
          <w:tcPr>
            <w:tcW w:w="1002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Налоговая ставка (%)</w:t>
            </w:r>
          </w:p>
        </w:tc>
        <w:tc>
          <w:tcPr>
            <w:tcW w:w="1225" w:type="dxa"/>
            <w:gridSpan w:val="2"/>
          </w:tcPr>
          <w:p w:rsidR="00870C2E" w:rsidRDefault="00870C2E">
            <w:pPr>
              <w:pStyle w:val="ConsPlusNormal"/>
              <w:jc w:val="center"/>
            </w:pPr>
            <w:r>
              <w:t>Сумма налога, подлежащая уплате (руб.)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  <w:r>
              <w:t>Наименование налогового агента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35" w:type="dxa"/>
          </w:tcPr>
          <w:p w:rsidR="00870C2E" w:rsidRDefault="00870C2E">
            <w:pPr>
              <w:pStyle w:val="ConsPlusNormal"/>
            </w:pPr>
          </w:p>
        </w:tc>
        <w:tc>
          <w:tcPr>
            <w:tcW w:w="1526" w:type="dxa"/>
            <w:gridSpan w:val="4"/>
          </w:tcPr>
          <w:p w:rsidR="00870C2E" w:rsidRDefault="00870C2E">
            <w:pPr>
              <w:pStyle w:val="ConsPlusNormal"/>
            </w:pPr>
          </w:p>
        </w:tc>
        <w:tc>
          <w:tcPr>
            <w:tcW w:w="1233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3072" w:type="dxa"/>
            <w:gridSpan w:val="6"/>
          </w:tcPr>
          <w:p w:rsidR="00870C2E" w:rsidRDefault="00870C2E">
            <w:pPr>
              <w:pStyle w:val="ConsPlusNormal"/>
            </w:pPr>
          </w:p>
        </w:tc>
        <w:tc>
          <w:tcPr>
            <w:tcW w:w="1002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122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  <w:tr w:rsidR="00870C2E">
        <w:tblPrEx>
          <w:tblBorders>
            <w:insideH w:val="single" w:sz="4" w:space="0" w:color="auto"/>
            <w:insideV w:val="nil"/>
          </w:tblBorders>
        </w:tblPrEx>
        <w:tc>
          <w:tcPr>
            <w:tcW w:w="8893" w:type="dxa"/>
            <w:gridSpan w:val="17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</w:tcPr>
          <w:p w:rsidR="00870C2E" w:rsidRDefault="00870C2E"/>
        </w:tc>
      </w:tr>
      <w:tr w:rsidR="00870C2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303" w:type="dxa"/>
            <w:gridSpan w:val="10"/>
            <w:tcBorders>
              <w:right w:val="nil"/>
            </w:tcBorders>
          </w:tcPr>
          <w:p w:rsidR="00870C2E" w:rsidRDefault="00870C2E">
            <w:pPr>
              <w:pStyle w:val="ConsPlusNormal"/>
            </w:pPr>
            <w:r>
              <w:t>Сумма налога к уплате с учетом переплаты</w:t>
            </w:r>
          </w:p>
        </w:tc>
        <w:tc>
          <w:tcPr>
            <w:tcW w:w="2365" w:type="dxa"/>
            <w:gridSpan w:val="5"/>
            <w:tcBorders>
              <w:left w:val="nil"/>
            </w:tcBorders>
          </w:tcPr>
          <w:p w:rsidR="00870C2E" w:rsidRDefault="00870C2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25" w:type="dxa"/>
            <w:gridSpan w:val="2"/>
          </w:tcPr>
          <w:p w:rsidR="00870C2E" w:rsidRDefault="00870C2E">
            <w:pPr>
              <w:pStyle w:val="ConsPlusNormal"/>
            </w:pPr>
          </w:p>
        </w:tc>
        <w:tc>
          <w:tcPr>
            <w:tcW w:w="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0C2E" w:rsidRDefault="00870C2E"/>
        </w:tc>
      </w:tr>
    </w:tbl>
    <w:p w:rsidR="00870C2E" w:rsidRDefault="00870C2E">
      <w:pPr>
        <w:sectPr w:rsidR="00870C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nformat"/>
        <w:jc w:val="both"/>
      </w:pPr>
      <w:r>
        <w:t xml:space="preserve">    --------------------------------</w:t>
      </w:r>
    </w:p>
    <w:p w:rsidR="00870C2E" w:rsidRDefault="00870C2E">
      <w:pPr>
        <w:pStyle w:val="ConsPlusNonformat"/>
        <w:jc w:val="both"/>
      </w:pPr>
      <w:bookmarkStart w:id="2" w:name="P250"/>
      <w:bookmarkEnd w:id="2"/>
      <w:r>
        <w:t xml:space="preserve">    &lt;1&gt; Отчество указывается при наличии.</w:t>
      </w:r>
    </w:p>
    <w:p w:rsidR="00870C2E" w:rsidRDefault="00870C2E">
      <w:pPr>
        <w:pStyle w:val="ConsPlusNonformat"/>
        <w:jc w:val="both"/>
      </w:pPr>
      <w:bookmarkStart w:id="3" w:name="P251"/>
      <w:bookmarkEnd w:id="3"/>
      <w:r>
        <w:t xml:space="preserve">    &lt;2&gt;   И   -   инвентаризационная   стоимость   указывается   с   учетом</w:t>
      </w:r>
    </w:p>
    <w:p w:rsidR="00870C2E" w:rsidRDefault="00870C2E">
      <w:pPr>
        <w:pStyle w:val="ConsPlusNonformat"/>
        <w:jc w:val="both"/>
      </w:pPr>
      <w:r>
        <w:t>коэффициента-дефлятора, утвержденного на соответствующий налоговый период.</w:t>
      </w:r>
    </w:p>
    <w:p w:rsidR="00870C2E" w:rsidRDefault="00870C2E">
      <w:pPr>
        <w:pStyle w:val="ConsPlusNonformat"/>
        <w:jc w:val="both"/>
      </w:pPr>
      <w:bookmarkStart w:id="4" w:name="P253"/>
      <w:bookmarkEnd w:id="4"/>
      <w:r>
        <w:t xml:space="preserve">    &lt;3</w:t>
      </w:r>
      <w:proofErr w:type="gramStart"/>
      <w:r>
        <w:t>&gt;  К</w:t>
      </w:r>
      <w:proofErr w:type="gramEnd"/>
      <w:r>
        <w:t xml:space="preserve">  -  кадастровая  стоимость  указывается с учетом ее уменьшения в</w:t>
      </w:r>
    </w:p>
    <w:p w:rsidR="00870C2E" w:rsidRDefault="00870C2E">
      <w:pPr>
        <w:pStyle w:val="ConsPlusNonformat"/>
        <w:jc w:val="both"/>
      </w:pPr>
      <w:r>
        <w:t xml:space="preserve">соответствии с </w:t>
      </w:r>
      <w:hyperlink r:id="rId24" w:history="1">
        <w:proofErr w:type="gramStart"/>
        <w:r>
          <w:rPr>
            <w:color w:val="0000FF"/>
          </w:rPr>
          <w:t>пунктами  3</w:t>
        </w:r>
        <w:proofErr w:type="gramEnd"/>
      </w:hyperlink>
      <w:r>
        <w:t xml:space="preserve"> - </w:t>
      </w:r>
      <w:hyperlink r:id="rId25" w:history="1">
        <w:r>
          <w:rPr>
            <w:color w:val="0000FF"/>
          </w:rPr>
          <w:t>7  статьи  403</w:t>
        </w:r>
      </w:hyperlink>
      <w:r>
        <w:t xml:space="preserve">  Налогового  кодекса Российской</w:t>
      </w:r>
    </w:p>
    <w:p w:rsidR="00870C2E" w:rsidRDefault="00870C2E">
      <w:pPr>
        <w:pStyle w:val="ConsPlusNonformat"/>
        <w:jc w:val="both"/>
      </w:pPr>
      <w:r>
        <w:t>Федерации.</w:t>
      </w:r>
    </w:p>
    <w:p w:rsidR="00870C2E" w:rsidRDefault="00870C2E">
      <w:pPr>
        <w:pStyle w:val="ConsPlusNonformat"/>
        <w:jc w:val="both"/>
      </w:pPr>
      <w:bookmarkStart w:id="5" w:name="P256"/>
      <w:bookmarkEnd w:id="5"/>
      <w:r>
        <w:t xml:space="preserve">    &lt;4</w:t>
      </w:r>
      <w:proofErr w:type="gramStart"/>
      <w:r>
        <w:t>&gt;  Сумма</w:t>
      </w:r>
      <w:proofErr w:type="gramEnd"/>
      <w:r>
        <w:t xml:space="preserve">  налога на имущество физических лиц исчислена в соответствии</w:t>
      </w:r>
    </w:p>
    <w:p w:rsidR="00870C2E" w:rsidRDefault="00870C2E">
      <w:pPr>
        <w:pStyle w:val="ConsPlusNonformat"/>
        <w:jc w:val="both"/>
      </w:pPr>
      <w:r>
        <w:t xml:space="preserve">со </w:t>
      </w:r>
      <w:hyperlink r:id="rId26" w:history="1">
        <w:r>
          <w:rPr>
            <w:color w:val="0000FF"/>
          </w:rPr>
          <w:t>статьей 408</w:t>
        </w:r>
      </w:hyperlink>
      <w:r>
        <w:t xml:space="preserve"> Налогового кодекса Российской Федерации.</w:t>
      </w:r>
    </w:p>
    <w:p w:rsidR="00870C2E" w:rsidRDefault="00870C2E">
      <w:pPr>
        <w:pStyle w:val="ConsPlusNonformat"/>
        <w:jc w:val="both"/>
      </w:pPr>
    </w:p>
    <w:p w:rsidR="00870C2E" w:rsidRDefault="00870C2E">
      <w:pPr>
        <w:pStyle w:val="ConsPlusNonformat"/>
        <w:jc w:val="both"/>
      </w:pPr>
      <w:r>
        <w:t xml:space="preserve">    </w:t>
      </w:r>
      <w:proofErr w:type="gramStart"/>
      <w:r>
        <w:t xml:space="preserve">Приложение:   </w:t>
      </w:r>
      <w:proofErr w:type="gramEnd"/>
      <w:r>
        <w:t>Платежные  документы  на  уплату  налогов  по  настоящему</w:t>
      </w:r>
    </w:p>
    <w:p w:rsidR="00870C2E" w:rsidRDefault="00870C2E">
      <w:pPr>
        <w:pStyle w:val="ConsPlusNonformat"/>
        <w:jc w:val="both"/>
      </w:pPr>
      <w:r>
        <w:t>налоговому уведомлению.</w:t>
      </w:r>
    </w:p>
    <w:p w:rsidR="00870C2E" w:rsidRDefault="00870C2E">
      <w:pPr>
        <w:pStyle w:val="ConsPlusNonformat"/>
        <w:jc w:val="both"/>
      </w:pPr>
    </w:p>
    <w:p w:rsidR="00870C2E" w:rsidRDefault="00870C2E">
      <w:pPr>
        <w:pStyle w:val="ConsPlusNonformat"/>
        <w:jc w:val="both"/>
      </w:pPr>
      <w:r>
        <w:t>------------------------------ линия отреза -------------------------------</w:t>
      </w:r>
    </w:p>
    <w:p w:rsidR="00870C2E" w:rsidRDefault="00870C2E">
      <w:pPr>
        <w:pStyle w:val="ConsPlusNonformat"/>
        <w:jc w:val="both"/>
      </w:pPr>
    </w:p>
    <w:p w:rsidR="00870C2E" w:rsidRDefault="00870C2E">
      <w:pPr>
        <w:pStyle w:val="ConsPlusNonformat"/>
        <w:jc w:val="both"/>
      </w:pPr>
      <w:r>
        <w:t>НАЛОГОВОЕ УВЕДОМЛЕНИЕ N ____ от ___________</w:t>
      </w:r>
    </w:p>
    <w:p w:rsidR="00870C2E" w:rsidRDefault="00870C2E">
      <w:pPr>
        <w:pStyle w:val="ConsPlusNonformat"/>
        <w:jc w:val="both"/>
      </w:pPr>
      <w:r>
        <w:t>на уплату:</w:t>
      </w:r>
    </w:p>
    <w:p w:rsidR="00870C2E" w:rsidRDefault="00870C2E">
      <w:pPr>
        <w:pStyle w:val="ConsPlusNonformat"/>
        <w:jc w:val="both"/>
      </w:pPr>
      <w:r>
        <w:t>транспортного налога в сумме ______ руб.;</w:t>
      </w:r>
    </w:p>
    <w:p w:rsidR="00870C2E" w:rsidRDefault="00870C2E">
      <w:pPr>
        <w:pStyle w:val="ConsPlusNonformat"/>
        <w:jc w:val="both"/>
      </w:pPr>
      <w:r>
        <w:t>земельного налога в сумме _______ руб.;</w:t>
      </w:r>
    </w:p>
    <w:p w:rsidR="00870C2E" w:rsidRDefault="00870C2E">
      <w:pPr>
        <w:pStyle w:val="ConsPlusNonformat"/>
        <w:jc w:val="both"/>
      </w:pPr>
      <w:r>
        <w:t>налога на имущество физических лиц в сумме _______ руб.;</w:t>
      </w:r>
    </w:p>
    <w:p w:rsidR="00870C2E" w:rsidRDefault="00870C2E">
      <w:pPr>
        <w:pStyle w:val="ConsPlusNonformat"/>
        <w:jc w:val="both"/>
      </w:pPr>
      <w:r>
        <w:t>налога на доходы физических лиц в сумме ________ руб.</w:t>
      </w:r>
    </w:p>
    <w:p w:rsidR="00870C2E" w:rsidRDefault="00870C2E">
      <w:pPr>
        <w:pStyle w:val="ConsPlusNonformat"/>
        <w:jc w:val="both"/>
      </w:pPr>
    </w:p>
    <w:p w:rsidR="00870C2E" w:rsidRDefault="00870C2E">
      <w:pPr>
        <w:pStyle w:val="ConsPlusNonformat"/>
        <w:jc w:val="both"/>
      </w:pPr>
      <w:r>
        <w:t>Ф.И.О. налогоплательщика _____________ ИНН _____________</w:t>
      </w:r>
    </w:p>
    <w:p w:rsidR="00870C2E" w:rsidRDefault="00870C2E">
      <w:pPr>
        <w:pStyle w:val="ConsPlusNonformat"/>
        <w:jc w:val="both"/>
      </w:pPr>
    </w:p>
    <w:p w:rsidR="00870C2E" w:rsidRDefault="00870C2E">
      <w:pPr>
        <w:pStyle w:val="ConsPlusNonformat"/>
        <w:jc w:val="both"/>
      </w:pPr>
      <w:r>
        <w:t>ПОЛУЧИЛ "__" _________ 20__ г. _____________________________</w:t>
      </w:r>
    </w:p>
    <w:p w:rsidR="00870C2E" w:rsidRDefault="00870C2E">
      <w:pPr>
        <w:pStyle w:val="ConsPlusNonformat"/>
        <w:jc w:val="both"/>
      </w:pPr>
      <w:r>
        <w:t xml:space="preserve">                                (подпись налогоплательщика)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ind w:firstLine="540"/>
        <w:jc w:val="both"/>
      </w:pPr>
      <w:r>
        <w:t>Примечание. Отрывной корешок заполняется и остается в налоговых органах в случае, если налоговое уведомление вручается налогоплательщику или его представителю лично.</w:t>
      </w: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jc w:val="both"/>
      </w:pPr>
    </w:p>
    <w:p w:rsidR="00870C2E" w:rsidRDefault="00870C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59C8" w:rsidRDefault="00B459C8"/>
    <w:sectPr w:rsidR="00B459C8" w:rsidSect="0024767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2E"/>
    <w:rsid w:val="00870C2E"/>
    <w:rsid w:val="009F69EC"/>
    <w:rsid w:val="00B4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2713-2501-475D-99F1-E4D5F992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0C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0C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C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DFF1F2A3241D66E81B45A68C8DCF97038A5B1CA55718BE11D1214EAAB3389991A34B47E85D56k5r6E" TargetMode="External"/><Relationship Id="rId13" Type="http://schemas.openxmlformats.org/officeDocument/2006/relationships/hyperlink" Target="consultantplus://offline/ref=F3DFF1F2A3241D66E81B45A68C8DCF97008F5A17A45F18BE11D1214EAAkBr3E" TargetMode="External"/><Relationship Id="rId18" Type="http://schemas.openxmlformats.org/officeDocument/2006/relationships/hyperlink" Target="consultantplus://offline/ref=F3DFF1F2A3241D66E81B45A68C8DCF97008F5A17A45F18BE11D1214EAAkBr3E" TargetMode="External"/><Relationship Id="rId26" Type="http://schemas.openxmlformats.org/officeDocument/2006/relationships/hyperlink" Target="consultantplus://offline/ref=F3DFF1F2A3241D66E81B45A68C8DCF97038A5B1CA55718BE11D1214EAAB3389991A34B47E85C57k5r5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3DFF1F2A3241D66E81B45A68C8DCF97008F5A17A45F18BE11D1214EAAkBr3E" TargetMode="External"/><Relationship Id="rId7" Type="http://schemas.openxmlformats.org/officeDocument/2006/relationships/hyperlink" Target="consultantplus://offline/ref=F3DFF1F2A3241D66E81B45A68C8DCF97038A5B1CA55718BE11D1214EAAB3389991A34B47E85C5Ek5r3E" TargetMode="External"/><Relationship Id="rId12" Type="http://schemas.openxmlformats.org/officeDocument/2006/relationships/hyperlink" Target="consultantplus://offline/ref=F3DFF1F2A3241D66E81B45A68C8DCF97008F5A17A45F18BE11D1214EAAkBr3E" TargetMode="External"/><Relationship Id="rId17" Type="http://schemas.openxmlformats.org/officeDocument/2006/relationships/hyperlink" Target="consultantplus://offline/ref=F3DFF1F2A3241D66E81B45A68C8DCF97008F5A17A45F18BE11D1214EAAkBr3E" TargetMode="External"/><Relationship Id="rId25" Type="http://schemas.openxmlformats.org/officeDocument/2006/relationships/hyperlink" Target="consultantplus://offline/ref=F3DFF1F2A3241D66E81B45A68C8DCF97038A5B1CA55718BE11D1214EAAB3389991A34B47E85B53k5r3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3DFF1F2A3241D66E81B45A68C8DCF97008F5A17A45F18BE11D1214EAAkBr3E" TargetMode="External"/><Relationship Id="rId20" Type="http://schemas.openxmlformats.org/officeDocument/2006/relationships/hyperlink" Target="consultantplus://offline/ref=F3DFF1F2A3241D66E81B45A68C8DCF97008F5A17A45F18BE11D1214EAAkBr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DFF1F2A3241D66E81B45A68C8DCF97038A5B1CA55718BE11D1214EAAB3389991A34B47EA5C51k5rAE" TargetMode="External"/><Relationship Id="rId11" Type="http://schemas.openxmlformats.org/officeDocument/2006/relationships/hyperlink" Target="consultantplus://offline/ref=F3DFF1F2A3241D66E81B45A68C8DCF97008C5717A65718BE11D1214EAAkBr3E" TargetMode="External"/><Relationship Id="rId24" Type="http://schemas.openxmlformats.org/officeDocument/2006/relationships/hyperlink" Target="consultantplus://offline/ref=F3DFF1F2A3241D66E81B45A68C8DCF97038A5B1CA55718BE11D1214EAAB3389991A34B47E85B52k5r5E" TargetMode="External"/><Relationship Id="rId5" Type="http://schemas.openxmlformats.org/officeDocument/2006/relationships/hyperlink" Target="consultantplus://offline/ref=F3DFF1F2A3241D66E81B45A68C8DCF97038A5719A15C18BE11D1214EAAB3389991A34B47E958k5r7E" TargetMode="External"/><Relationship Id="rId15" Type="http://schemas.openxmlformats.org/officeDocument/2006/relationships/hyperlink" Target="consultantplus://offline/ref=F3DFF1F2A3241D66E81B45A68C8DCF97008F5A17A45F18BE11D1214EAAkBr3E" TargetMode="External"/><Relationship Id="rId23" Type="http://schemas.openxmlformats.org/officeDocument/2006/relationships/hyperlink" Target="consultantplus://offline/ref=F3DFF1F2A3241D66E81B45A68C8DCF97008F5A17A45F18BE11D1214EAAkBr3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3DFF1F2A3241D66E81B45A68C8DCF97038A5719A15C18BE11D1214EAAB3389991A34B47E851k5rEE" TargetMode="External"/><Relationship Id="rId19" Type="http://schemas.openxmlformats.org/officeDocument/2006/relationships/hyperlink" Target="consultantplus://offline/ref=F3DFF1F2A3241D66E81B45A68C8DCF97008F5A17A45F18BE11D1214EAAkBr3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3DFF1F2A3241D66E81B45A68C8DCF97038A5B1CA55718BE11D1214EAAB3389991A34B47E85C52k5r0E" TargetMode="External"/><Relationship Id="rId14" Type="http://schemas.openxmlformats.org/officeDocument/2006/relationships/hyperlink" Target="consultantplus://offline/ref=F3DFF1F2A3241D66E81B45A68C8DCF97008F5A17A45F18BE11D1214EAAkBr3E" TargetMode="External"/><Relationship Id="rId22" Type="http://schemas.openxmlformats.org/officeDocument/2006/relationships/hyperlink" Target="consultantplus://offline/ref=F3DFF1F2A3241D66E81B45A68C8DCF97008F5A17A45F18BE11D1214EAAkBr3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2017-12-07T04:43:00Z</dcterms:created>
  <dcterms:modified xsi:type="dcterms:W3CDTF">2017-12-07T05:24:00Z</dcterms:modified>
</cp:coreProperties>
</file>