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FA9" w:rsidRPr="004C6FA9" w:rsidRDefault="004C6FA9" w:rsidP="004C6FA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6FA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C6FA9" w:rsidRPr="004C6FA9" w:rsidRDefault="004C6FA9" w:rsidP="004C6FA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6FA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C6FA9" w:rsidRPr="004C6FA9" w:rsidRDefault="004C6FA9" w:rsidP="004C6FA9">
      <w:pPr>
        <w:spacing w:after="0" w:line="228" w:lineRule="atLeast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    </w:t>
      </w:r>
    </w:p>
    <w:p w:rsidR="004C6FA9" w:rsidRPr="004C6FA9" w:rsidRDefault="004C6FA9" w:rsidP="004C6FA9">
      <w:pPr>
        <w:spacing w:after="240" w:line="228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t>Министерство юстиции Российской Федерации</w:t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  <w:t>ГЛАВНОЕ УПРАВЛЕНИЕ ИСПОЛНЕНИЯ НАКАЗАНИЙ</w:t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  <w:t>ПИСЬМО</w:t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  <w:t>от 22 января 2003 года N 18/21/8-82</w:t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  <w:t>[Разъяснения по вопросам порядка выплаты денежной компенсации за предметы вещевого имущества, положенные сотрудникам уголовно-исполнительной системы Министерства юстиции Российской Федерации]</w:t>
      </w:r>
      <w:r w:rsidRPr="004C6FA9">
        <w:rPr>
          <w:rFonts w:ascii="Arial" w:eastAsia="Times New Roman" w:hAnsi="Arial" w:cs="Arial"/>
          <w:b/>
          <w:bCs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proofErr w:type="gramStart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В связи с поступающими запросами о порядке выплаты денежной компенсации за предметы вещевого имущества, положенные сотрудникам уголовно-исполнительной системы Министерства юстиции Российской Федерации, имеющим специальные звания внутренней службы, по нормам снабжения за период прохождения службы, но не полученные ими, разъясняется.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  <w:proofErr w:type="gramEnd"/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В </w:t>
      </w:r>
      <w:hyperlink r:id="rId4" w:anchor="8OO0LP" w:history="1">
        <w:r w:rsidRPr="004C6FA9">
          <w:rPr>
            <w:rFonts w:ascii="Arial" w:eastAsia="Times New Roman" w:hAnsi="Arial" w:cs="Arial"/>
            <w:color w:val="3451A0"/>
            <w:sz w:val="17"/>
            <w:u w:val="single"/>
            <w:lang w:eastAsia="ru-RU"/>
          </w:rPr>
          <w:t>ст.97 Федерального закона от 24 декабря 2002 года N 176-ФЗ "О федеральном бюджете на 2003 год"</w:t>
        </w:r>
      </w:hyperlink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определено: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"Установить, что в 2003 году военнослужащие и приравненные к ним лица, проходящие военную и приравненную к ней службу по контракту, имеют право на получение денежной компенсации взамен положенных по нормам снабжения предметов вещевого имущества в размере стоимости указанных предметов, но не более 3000 рублей в год".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 xml:space="preserve">Выплату денежной компенсации производить, при наличии финансовых средств на эти цели, с разрешения начальников учреждений и органов УИС Минюста России, учитывая реальную обеспеченность сотрудника вещевым имуществом и состояние ранее выданных ему предметов обмундирования, </w:t>
      </w:r>
      <w:proofErr w:type="gramStart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а</w:t>
      </w:r>
      <w:proofErr w:type="gramEnd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 xml:space="preserve"> также не имея кредиторской задолженности перед уволенными и увольняемыми сотрудниками.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proofErr w:type="gramStart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В соответствии с </w:t>
      </w:r>
      <w:hyperlink r:id="rId5" w:anchor="7D60K4" w:history="1">
        <w:r w:rsidRPr="004C6FA9">
          <w:rPr>
            <w:rFonts w:ascii="Arial" w:eastAsia="Times New Roman" w:hAnsi="Arial" w:cs="Arial"/>
            <w:color w:val="3451A0"/>
            <w:sz w:val="17"/>
            <w:u w:val="single"/>
            <w:lang w:eastAsia="ru-RU"/>
          </w:rPr>
          <w:t>Положением о вещевом обеспечении сотрудников органов внутренних дел Российской Федерации</w:t>
        </w:r>
      </w:hyperlink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, утвержденным </w:t>
      </w:r>
      <w:hyperlink r:id="rId6" w:anchor="64U0IK" w:history="1">
        <w:r w:rsidRPr="004C6FA9">
          <w:rPr>
            <w:rFonts w:ascii="Arial" w:eastAsia="Times New Roman" w:hAnsi="Arial" w:cs="Arial"/>
            <w:color w:val="3451A0"/>
            <w:sz w:val="17"/>
            <w:u w:val="single"/>
            <w:lang w:eastAsia="ru-RU"/>
          </w:rPr>
          <w:t>постановлением Правительства Российской Федерации от 17 июля 1995 года N 720</w:t>
        </w:r>
      </w:hyperlink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 (приказ Министерства внутренних дел Российской Федерации от 12 августа 1995 года N 311), лица начальствующего состава, увольняемые из органов внутренних дел с правом ношения форменной одежды, по их желанию обеспечиваются вещевым имуществом, предусмотренным для выдачи</w:t>
      </w:r>
      <w:proofErr w:type="gramEnd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 xml:space="preserve"> им соответствующими нормами снабжения по месяц увольнения включительно, или получают денежную компенсацию по ценам на день издания приказа об увольнении. Лицам, увольняемым без права ношения форменной одежды, выплачивается денежная компенсация.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При увольнении лиц начальствующего и рядового состава по отрицательным мотивам наступают имущественные последствия, предусмотренные </w:t>
      </w:r>
      <w:hyperlink r:id="rId7" w:anchor="7EA0KF" w:history="1">
        <w:r w:rsidRPr="004C6FA9">
          <w:rPr>
            <w:rFonts w:ascii="Arial" w:eastAsia="Times New Roman" w:hAnsi="Arial" w:cs="Arial"/>
            <w:color w:val="3451A0"/>
            <w:sz w:val="17"/>
            <w:u w:val="single"/>
            <w:lang w:eastAsia="ru-RU"/>
          </w:rPr>
          <w:t>ст.61 Положения о службе в органах внутренних дел Российской Федерации</w:t>
        </w:r>
      </w:hyperlink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, утвержденного </w:t>
      </w:r>
      <w:hyperlink r:id="rId8" w:anchor="64U0IK" w:history="1">
        <w:r w:rsidRPr="004C6FA9">
          <w:rPr>
            <w:rFonts w:ascii="Arial" w:eastAsia="Times New Roman" w:hAnsi="Arial" w:cs="Arial"/>
            <w:color w:val="3451A0"/>
            <w:sz w:val="17"/>
            <w:u w:val="single"/>
            <w:lang w:eastAsia="ru-RU"/>
          </w:rPr>
          <w:t>постановлением Верховного Совета Российской Федерации от 23 декабря 1992 года N 4202-1</w:t>
        </w:r>
      </w:hyperlink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Сотрудникам УИС Минюста России, увольняемым по собственному желанию, денежная компенсация выплачивается в полном объеме, если при наличии заключенного контракта о прохождении службы в нем не были оговорены условия и порядок обеспечения форменным обмундированием.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Сотрудники, переводимые из УИС Минюста России для дальнейшего прохождения службы в другие силовые ведомства Российской Федерации, а также переводимые для дальнейшего прохождения службы в иные подразделения УИС Минюста России, обеспечиваются всем положенным на момент перевода вещевым имуществом личного пользования или получают денежную компенсацию за него по прежнему месту службы. Начисление и выплата денежной компенсации производятся в полном объеме.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Расчет и выплата денежной компенсации за вещевое имущество данной категории сотрудников, а также сотрудникам, продолжающим проходить службу в УИС Минюста России, производятся с момента возникновения права на обеспечение вещевым имуществом, но не ранее подписания приказа МВД России от 12 августа 1995 года N 311, по ценам, действующим на момент обращения.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lastRenderedPageBreak/>
        <w:t>Сотрудникам УИС Минюста России, получившим денежную компенсацию до издания настоящего указания, перерасчет суммы выплаченной компенсации не производится.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При замене одних предметов вещевого имущества личного пользования на другие, из числа предусмотренных нормой снабжения, следует руководствоваться размерами цен денежной компенсации, указанными в приложении к указанию ГУИН Минюста России от 23 марта 2001 года N 18/21/7-127.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proofErr w:type="gramStart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При отпуске предметов вещевого имущества улучшенного качества размеры производимых получателем доплат определяются, исходя из действующих на день отпуска максимальных учетных цен на эти предметы и стоимости заменяемых предметов по ценам денежной компенсации.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  <w:proofErr w:type="gramEnd"/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Считать утратившим силу указания ГУИН Минюста России от 16 ноября 2000 года N 18/21/7-490 и от 23 марта 2001 года N 18/21/7-127 (кроме приложения).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Настоящее указание довести до всех снабжаемых подразделений уголовно-исполнительной системы Министерства юстиции Российской Федерации.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jc w:val="right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Генерал-полковник внутренней службы</w:t>
      </w: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  <w:proofErr w:type="spellStart"/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В.У.Ялунин</w:t>
      </w:r>
      <w:proofErr w:type="spellEnd"/>
    </w:p>
    <w:p w:rsidR="004C6FA9" w:rsidRPr="004C6FA9" w:rsidRDefault="004C6FA9" w:rsidP="004C6FA9">
      <w:pPr>
        <w:spacing w:after="0" w:line="228" w:lineRule="atLeast"/>
        <w:ind w:firstLine="480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4C6FA9">
        <w:rPr>
          <w:rFonts w:ascii="Arial" w:eastAsia="Times New Roman" w:hAnsi="Arial" w:cs="Arial"/>
          <w:color w:val="444444"/>
          <w:sz w:val="17"/>
          <w:szCs w:val="17"/>
          <w:lang w:eastAsia="ru-RU"/>
        </w:rPr>
        <w:br/>
      </w:r>
    </w:p>
    <w:p w:rsidR="004C6FA9" w:rsidRPr="004C6FA9" w:rsidRDefault="004C6FA9" w:rsidP="004C6FA9">
      <w:pPr>
        <w:spacing w:after="0" w:line="228" w:lineRule="atLeast"/>
        <w:textAlignment w:val="baseline"/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</w:pPr>
      <w:r w:rsidRPr="004C6FA9"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  <w:t xml:space="preserve">Текст документа сверен </w:t>
      </w:r>
      <w:proofErr w:type="gramStart"/>
      <w:r w:rsidRPr="004C6FA9"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  <w:t>по</w:t>
      </w:r>
      <w:proofErr w:type="gramEnd"/>
      <w:r w:rsidRPr="004C6FA9"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  <w:t>:</w:t>
      </w:r>
    </w:p>
    <w:p w:rsidR="004C6FA9" w:rsidRPr="004C6FA9" w:rsidRDefault="004C6FA9" w:rsidP="004C6FA9">
      <w:pPr>
        <w:spacing w:after="0" w:line="228" w:lineRule="atLeast"/>
        <w:textAlignment w:val="baseline"/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</w:pPr>
      <w:r w:rsidRPr="004C6FA9"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  <w:t>"Ведомости уголовно-исполнительной</w:t>
      </w:r>
    </w:p>
    <w:p w:rsidR="004C6FA9" w:rsidRPr="004C6FA9" w:rsidRDefault="004C6FA9" w:rsidP="004C6FA9">
      <w:pPr>
        <w:spacing w:after="0" w:line="228" w:lineRule="atLeast"/>
        <w:textAlignment w:val="baseline"/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</w:pPr>
      <w:r w:rsidRPr="004C6FA9">
        <w:rPr>
          <w:rFonts w:ascii="Courier New" w:eastAsia="Times New Roman" w:hAnsi="Courier New" w:cs="Courier New"/>
          <w:color w:val="444444"/>
          <w:spacing w:val="-12"/>
          <w:sz w:val="17"/>
          <w:szCs w:val="17"/>
          <w:lang w:eastAsia="ru-RU"/>
        </w:rPr>
        <w:t xml:space="preserve">системы", N 2(22), 2003 год </w:t>
      </w:r>
    </w:p>
    <w:p w:rsidR="00977036" w:rsidRDefault="00977036"/>
    <w:sectPr w:rsidR="00977036" w:rsidSect="0097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6FA9"/>
    <w:rsid w:val="004C6FA9"/>
    <w:rsid w:val="009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C6F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C6F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C6F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C6FA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C6FA9"/>
    <w:rPr>
      <w:color w:val="0000FF"/>
      <w:u w:val="single"/>
    </w:rPr>
  </w:style>
  <w:style w:type="paragraph" w:customStyle="1" w:styleId="formattext">
    <w:name w:val="formattext"/>
    <w:basedOn w:val="a"/>
    <w:rsid w:val="004C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C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4C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BEBEB"/>
                            <w:right w:val="none" w:sz="0" w:space="0" w:color="auto"/>
                          </w:divBdr>
                          <w:divsChild>
                            <w:div w:id="7067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BEBEB"/>
                              </w:divBdr>
                              <w:divsChild>
                                <w:div w:id="18436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6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3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0" w:color="EBEBEB"/>
                              </w:divBdr>
                              <w:divsChild>
                                <w:div w:id="193524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09103">
                                      <w:marLeft w:val="-8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9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61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4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12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358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3589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9519" TargetMode="External"/><Relationship Id="rId5" Type="http://schemas.openxmlformats.org/officeDocument/2006/relationships/hyperlink" Target="https://docs.cntd.ru/document/902951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8360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2021-04-14T02:46:00Z</dcterms:created>
  <dcterms:modified xsi:type="dcterms:W3CDTF">2021-04-14T02:46:00Z</dcterms:modified>
</cp:coreProperties>
</file>