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01" w:rsidRDefault="00F90B01" w:rsidP="00F90B0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Предложение вакантных должностей в другой местности (филиале, обособленном подразделение, представительстве) это перевод на другую работу (должность), а значит, сокращение численности или штата, или это изменение места исполнения трудовых обязанностей, т.е. изменение определенных условий трудового договора?!</w:t>
      </w:r>
    </w:p>
    <w:p w:rsidR="00F90B01" w:rsidRDefault="00F90B01" w:rsidP="00F90B0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0B01" w:rsidRPr="008756FE" w:rsidRDefault="00F90B01" w:rsidP="00F90B01">
      <w:pPr>
        <w:pStyle w:val="a3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Все-таки, как уволить работника по </w:t>
      </w:r>
      <w:r w:rsidRPr="008756FE">
        <w:rPr>
          <w:rFonts w:ascii="Arial" w:hAnsi="Arial" w:cs="Arial"/>
          <w:color w:val="000000"/>
          <w:sz w:val="21"/>
          <w:szCs w:val="21"/>
          <w:shd w:val="clear" w:color="auto" w:fill="FFFFFF"/>
        </w:rPr>
        <w:t>пункту 2 части первой статьи 81 ТК РФ или по пункту 1 части первой статьи 81 ТК РФ</w:t>
      </w:r>
      <w:r>
        <w:rPr>
          <w:rFonts w:ascii="Arial" w:hAnsi="Arial" w:cs="Arial"/>
          <w:sz w:val="20"/>
          <w:szCs w:val="20"/>
        </w:rPr>
        <w:t xml:space="preserve"> или по пункту 7 части первой статьи 77 ТК РФ (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отказ работника от продолжения работы в связи с изменением определенных сторонами условий трудового договора)?!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Особенно это актуально, когда работодатель пытается подменить </w:t>
      </w:r>
      <w:r w:rsidRPr="008756F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процедуру сокращения численности или штата, либо ликвидации филиала (обособленного подразделения, представительства)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увольнением по п.7 ст.77 ТК РФ (ст.74 ТК РФ)</w:t>
      </w:r>
      <w:r w:rsidRPr="008756F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чтобы лишить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работника</w:t>
      </w:r>
      <w:r w:rsidRPr="008756F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гарантий, которые дает увольнение по пункту 2 части первой статьи 81 ТК РФ или по пункту 1 части первой статьи 81 ТК РФ.</w:t>
      </w:r>
      <w:proofErr w:type="gramEnd"/>
    </w:p>
    <w:p w:rsidR="00F90B01" w:rsidRDefault="00F90B01" w:rsidP="00F90B0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0B01" w:rsidRPr="00552A70" w:rsidRDefault="00F90B01" w:rsidP="00F90B0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52A70">
        <w:rPr>
          <w:rFonts w:ascii="Arial" w:hAnsi="Arial" w:cs="Arial"/>
          <w:b/>
          <w:sz w:val="20"/>
          <w:szCs w:val="20"/>
        </w:rPr>
        <w:t xml:space="preserve">Судебная практика здесь не однозначна. </w:t>
      </w:r>
    </w:p>
    <w:p w:rsidR="00F90B01" w:rsidRDefault="00F90B01" w:rsidP="00F90B0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0B01" w:rsidRDefault="00F90B01" w:rsidP="00F90B0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7AFA">
        <w:rPr>
          <w:rFonts w:ascii="Arial" w:hAnsi="Arial" w:cs="Arial"/>
          <w:b/>
          <w:sz w:val="20"/>
          <w:szCs w:val="20"/>
        </w:rPr>
        <w:t>Во-первых</w:t>
      </w:r>
      <w:r>
        <w:rPr>
          <w:rFonts w:ascii="Arial" w:hAnsi="Arial" w:cs="Arial"/>
          <w:sz w:val="20"/>
          <w:szCs w:val="20"/>
        </w:rPr>
        <w:t>, н</w:t>
      </w:r>
      <w:r w:rsidRPr="00F72F48">
        <w:rPr>
          <w:rFonts w:ascii="Arial" w:hAnsi="Arial" w:cs="Arial"/>
          <w:sz w:val="20"/>
          <w:szCs w:val="20"/>
        </w:rPr>
        <w:t xml:space="preserve">екоторые суды придерживаются позиции, что при сокращении численности или штата сотрудников исчезает потребность в определенной деятельности, а при изменении условий труда такая потребность остается.  </w:t>
      </w:r>
    </w:p>
    <w:p w:rsidR="00F90B01" w:rsidRDefault="00F90B01" w:rsidP="00F90B0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0B01" w:rsidRDefault="00F90B01" w:rsidP="00F90B0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36321">
        <w:rPr>
          <w:rFonts w:ascii="Arial" w:hAnsi="Arial" w:cs="Arial"/>
          <w:b/>
          <w:sz w:val="20"/>
          <w:szCs w:val="20"/>
        </w:rPr>
        <w:t>Во-вторых</w:t>
      </w:r>
      <w:r>
        <w:rPr>
          <w:rFonts w:ascii="Arial" w:hAnsi="Arial" w:cs="Arial"/>
          <w:sz w:val="20"/>
          <w:szCs w:val="20"/>
        </w:rPr>
        <w:t>, п</w:t>
      </w:r>
      <w:r w:rsidRPr="005B541D">
        <w:rPr>
          <w:rFonts w:ascii="Arial" w:hAnsi="Arial" w:cs="Arial"/>
          <w:sz w:val="20"/>
          <w:szCs w:val="20"/>
        </w:rPr>
        <w:t>ри структурной реорганизации компании</w:t>
      </w:r>
      <w:r w:rsidRPr="005B541D">
        <w:rPr>
          <w:rFonts w:ascii="Arial" w:hAnsi="Arial" w:cs="Arial"/>
          <w:color w:val="000000"/>
          <w:sz w:val="18"/>
        </w:rPr>
        <w:t xml:space="preserve"> </w:t>
      </w:r>
      <w:r w:rsidRPr="005B541D">
        <w:rPr>
          <w:rFonts w:ascii="Arial" w:hAnsi="Arial" w:cs="Arial"/>
          <w:sz w:val="20"/>
          <w:szCs w:val="20"/>
        </w:rPr>
        <w:t>должности передаются в подразделение, расположенное в другом городе</w:t>
      </w:r>
      <w:r>
        <w:rPr>
          <w:rFonts w:ascii="Arial" w:hAnsi="Arial" w:cs="Arial"/>
          <w:sz w:val="20"/>
          <w:szCs w:val="20"/>
        </w:rPr>
        <w:t>, происходит</w:t>
      </w:r>
      <w:r>
        <w:rPr>
          <w:rFonts w:ascii="Helvetica" w:hAnsi="Helvetica" w:cs="Helvetica"/>
          <w:color w:val="000000"/>
          <w:sz w:val="20"/>
          <w:szCs w:val="20"/>
        </w:rPr>
        <w:t xml:space="preserve"> перераспределение функционала между обособленными подразделениями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юрлица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F90B01" w:rsidRDefault="00F90B01" w:rsidP="00F90B0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0B01" w:rsidRPr="008E1355" w:rsidRDefault="00F90B01" w:rsidP="00F90B01">
      <w:pPr>
        <w:spacing w:line="276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Работодателю нужно доказать, что </w:t>
      </w:r>
      <w:r w:rsidRPr="00736321">
        <w:rPr>
          <w:rFonts w:ascii="Arial" w:hAnsi="Arial" w:cs="Arial"/>
          <w:sz w:val="20"/>
          <w:szCs w:val="20"/>
        </w:rPr>
        <w:t>прежнее место работы нельзя сохранить из-за изменения организационных или технологических условий труда.</w:t>
      </w:r>
      <w:r w:rsidRPr="008E1355">
        <w:rPr>
          <w:rFonts w:ascii="Arial" w:hAnsi="Arial" w:cs="Arial"/>
          <w:color w:val="000000"/>
          <w:sz w:val="16"/>
        </w:rPr>
        <w:t xml:space="preserve"> </w:t>
      </w:r>
    </w:p>
    <w:p w:rsidR="00F90B01" w:rsidRDefault="00F90B01" w:rsidP="00F90B01"/>
    <w:p w:rsidR="00F90B01" w:rsidRPr="00736321" w:rsidRDefault="00F90B01" w:rsidP="00F90B0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736321">
        <w:rPr>
          <w:rFonts w:ascii="Arial" w:hAnsi="Arial" w:cs="Arial"/>
          <w:sz w:val="20"/>
          <w:szCs w:val="20"/>
        </w:rPr>
        <w:t>Разрешая дела о восстановлении на работе лиц, трудовой договор с которыми был прекращен по пункту 7 части первой </w:t>
      </w:r>
      <w:hyperlink r:id="rId5" w:anchor="dst483" w:history="1">
        <w:r w:rsidRPr="00736321">
          <w:rPr>
            <w:rFonts w:ascii="Arial" w:hAnsi="Arial" w:cs="Arial"/>
            <w:sz w:val="20"/>
            <w:szCs w:val="20"/>
          </w:rPr>
          <w:t>статьи 77</w:t>
        </w:r>
      </w:hyperlink>
      <w:r w:rsidRPr="007363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ТК РФ</w:t>
      </w:r>
      <w:r w:rsidRPr="00736321">
        <w:rPr>
          <w:rFonts w:ascii="Arial" w:hAnsi="Arial" w:cs="Arial"/>
          <w:sz w:val="20"/>
          <w:szCs w:val="20"/>
        </w:rPr>
        <w:t xml:space="preserve"> (отказ от продолжения работы в связи с изменением определенных сторонами условий трудового договора), либо о признании незаконным изменения определенных сторонами условий трудового договора при продолжении работником работы без изменения трудовой функции (</w:t>
      </w:r>
      <w:hyperlink r:id="rId6" w:anchor="dst457" w:history="1">
        <w:r w:rsidRPr="00736321">
          <w:rPr>
            <w:rFonts w:ascii="Arial" w:hAnsi="Arial" w:cs="Arial"/>
            <w:sz w:val="20"/>
            <w:szCs w:val="20"/>
          </w:rPr>
          <w:t>статья 74</w:t>
        </w:r>
      </w:hyperlink>
      <w:r w:rsidRPr="00736321">
        <w:rPr>
          <w:rFonts w:ascii="Arial" w:hAnsi="Arial" w:cs="Arial"/>
          <w:sz w:val="20"/>
          <w:szCs w:val="20"/>
        </w:rPr>
        <w:t> ТК РФ), необходимо учитывать, что</w:t>
      </w:r>
      <w:proofErr w:type="gramEnd"/>
      <w:r w:rsidRPr="0073632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36321">
        <w:rPr>
          <w:rFonts w:ascii="Arial" w:hAnsi="Arial" w:cs="Arial"/>
          <w:sz w:val="20"/>
          <w:szCs w:val="20"/>
        </w:rPr>
        <w:t>исходя из </w:t>
      </w:r>
      <w:hyperlink r:id="rId7" w:anchor="dst100260" w:history="1">
        <w:r w:rsidRPr="00736321">
          <w:rPr>
            <w:rFonts w:ascii="Arial" w:hAnsi="Arial" w:cs="Arial"/>
            <w:sz w:val="20"/>
            <w:szCs w:val="20"/>
          </w:rPr>
          <w:t>статьи 56</w:t>
        </w:r>
      </w:hyperlink>
      <w:r w:rsidRPr="00736321">
        <w:rPr>
          <w:rFonts w:ascii="Arial" w:hAnsi="Arial" w:cs="Arial"/>
          <w:sz w:val="20"/>
          <w:szCs w:val="20"/>
        </w:rPr>
        <w:t xml:space="preserve"> ГПК РФ работодатель обязан, в частности, представить доказательства, подтверждающие, что изменение определенных сторонами условий трудового договора явилось следствием изменений организационных или технологических условий труда, например изменений в технике и технологии производства, совершенствования рабочих мест на основе их аттестации, структурной реорганизации производства, и не ухудшало положения работника по сравнению с условиями коллективного договора, соглашения. </w:t>
      </w:r>
      <w:proofErr w:type="gramEnd"/>
    </w:p>
    <w:p w:rsidR="00F90B01" w:rsidRPr="00736321" w:rsidRDefault="00F90B01" w:rsidP="00F90B0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36321">
        <w:rPr>
          <w:rFonts w:ascii="Arial" w:hAnsi="Arial" w:cs="Arial"/>
          <w:sz w:val="20"/>
          <w:szCs w:val="20"/>
        </w:rPr>
        <w:t>При отсутствии таких доказательств прекращение трудового договора по пункту 7 части первой </w:t>
      </w:r>
      <w:hyperlink r:id="rId8" w:anchor="dst483" w:history="1">
        <w:r w:rsidRPr="00736321">
          <w:rPr>
            <w:rFonts w:ascii="Arial" w:hAnsi="Arial" w:cs="Arial"/>
            <w:sz w:val="20"/>
            <w:szCs w:val="20"/>
          </w:rPr>
          <w:t>статьи 77</w:t>
        </w:r>
      </w:hyperlink>
      <w:r w:rsidRPr="007363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ТК РФ</w:t>
      </w:r>
      <w:r w:rsidRPr="00736321">
        <w:rPr>
          <w:rFonts w:ascii="Arial" w:hAnsi="Arial" w:cs="Arial"/>
          <w:sz w:val="20"/>
          <w:szCs w:val="20"/>
        </w:rPr>
        <w:t xml:space="preserve"> или изменение определенных сторонами условий трудового договора </w:t>
      </w:r>
      <w:r>
        <w:rPr>
          <w:rFonts w:ascii="Arial" w:hAnsi="Arial" w:cs="Arial"/>
          <w:sz w:val="20"/>
          <w:szCs w:val="20"/>
        </w:rPr>
        <w:t xml:space="preserve">не может быть признано законным (п.21 Постановления Пленума </w:t>
      </w:r>
      <w:proofErr w:type="gramStart"/>
      <w:r>
        <w:rPr>
          <w:rFonts w:ascii="Arial" w:hAnsi="Arial" w:cs="Arial"/>
          <w:sz w:val="20"/>
          <w:szCs w:val="20"/>
        </w:rPr>
        <w:t>ВС</w:t>
      </w:r>
      <w:proofErr w:type="gramEnd"/>
      <w:r>
        <w:rPr>
          <w:rFonts w:ascii="Arial" w:hAnsi="Arial" w:cs="Arial"/>
          <w:sz w:val="20"/>
          <w:szCs w:val="20"/>
        </w:rPr>
        <w:t xml:space="preserve"> РФ от 17.03.2004 №2).</w:t>
      </w:r>
    </w:p>
    <w:p w:rsidR="00F90B01" w:rsidRDefault="00F90B01" w:rsidP="00F90B0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0B01" w:rsidRPr="005B0EC8" w:rsidRDefault="00F90B01" w:rsidP="00F90B0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B0EC8">
        <w:rPr>
          <w:rFonts w:ascii="Arial" w:hAnsi="Arial" w:cs="Arial"/>
          <w:b/>
          <w:sz w:val="20"/>
          <w:szCs w:val="20"/>
        </w:rPr>
        <w:t>Другая позиция:</w:t>
      </w:r>
    </w:p>
    <w:p w:rsidR="00F90B01" w:rsidRDefault="00F90B01" w:rsidP="00F90B0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0B01" w:rsidRDefault="00F90B01" w:rsidP="00F90B01">
      <w:pPr>
        <w:spacing w:line="276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Перевод на другую работу - постоянное или временное изменение трудовой функции работника и (или) структурного подразделения, в котором работает работник (если структурное подразделение было указано в трудовом договоре), при продолжении работы у того же работодателя, а также перевод на работу в другую местность вместе с работодателем ст.72.1 ТК РФ.</w:t>
      </w:r>
    </w:p>
    <w:p w:rsidR="00F90B01" w:rsidRDefault="00F90B01" w:rsidP="00F90B01">
      <w:pPr>
        <w:spacing w:line="276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F90B01" w:rsidRPr="005B541D" w:rsidRDefault="00F90B01" w:rsidP="00F90B01">
      <w:pPr>
        <w:pStyle w:val="a3"/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5B541D">
        <w:rPr>
          <w:rFonts w:ascii="Arial" w:hAnsi="Arial" w:cs="Arial"/>
          <w:b/>
          <w:sz w:val="20"/>
          <w:szCs w:val="20"/>
        </w:rPr>
        <w:t xml:space="preserve">В пункте 16 Постановления Пленума </w:t>
      </w:r>
      <w:proofErr w:type="gramStart"/>
      <w:r w:rsidRPr="005B541D">
        <w:rPr>
          <w:rFonts w:ascii="Arial" w:hAnsi="Arial" w:cs="Arial"/>
          <w:b/>
          <w:sz w:val="20"/>
          <w:szCs w:val="20"/>
        </w:rPr>
        <w:t>ВС</w:t>
      </w:r>
      <w:proofErr w:type="gramEnd"/>
      <w:r w:rsidRPr="005B541D">
        <w:rPr>
          <w:rFonts w:ascii="Arial" w:hAnsi="Arial" w:cs="Arial"/>
          <w:b/>
          <w:sz w:val="20"/>
          <w:szCs w:val="20"/>
        </w:rPr>
        <w:t xml:space="preserve"> РФ от 17.03.2004 №2 разъяснено следующее:</w:t>
      </w:r>
    </w:p>
    <w:p w:rsidR="00F90B01" w:rsidRPr="005B541D" w:rsidRDefault="00F90B01" w:rsidP="00F90B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B541D">
        <w:rPr>
          <w:rFonts w:ascii="Arial" w:hAnsi="Arial" w:cs="Arial"/>
          <w:sz w:val="20"/>
          <w:szCs w:val="20"/>
        </w:rPr>
        <w:lastRenderedPageBreak/>
        <w:t>«Под другой местностью следует понимать местность за пределами административно-территориальных границ соответствующего населенного пункта».</w:t>
      </w:r>
    </w:p>
    <w:p w:rsidR="00F90B01" w:rsidRPr="005B541D" w:rsidRDefault="00F90B01" w:rsidP="00F90B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B541D">
        <w:rPr>
          <w:rFonts w:ascii="Arial" w:hAnsi="Arial" w:cs="Arial"/>
          <w:sz w:val="20"/>
          <w:szCs w:val="20"/>
        </w:rPr>
        <w:t>«Под структурным подразделением организации следует понимать как филиалы, представительства, так и отделы, цеха, участки и т.д.».</w:t>
      </w:r>
    </w:p>
    <w:p w:rsidR="00F90B01" w:rsidRDefault="00F90B01" w:rsidP="00F90B01">
      <w:pPr>
        <w:spacing w:line="276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F90B01" w:rsidRDefault="00F90B01" w:rsidP="00F90B01">
      <w:pPr>
        <w:spacing w:line="276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F90B01" w:rsidRPr="005B541D" w:rsidRDefault="00F90B01" w:rsidP="00F90B01">
      <w:pPr>
        <w:spacing w:line="288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5B54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Позиция </w:t>
      </w:r>
      <w:proofErr w:type="gramStart"/>
      <w:r w:rsidRPr="005B54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ВС</w:t>
      </w:r>
      <w:proofErr w:type="gramEnd"/>
      <w:r w:rsidRPr="005B54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 РФ:</w:t>
      </w:r>
      <w:r w:rsidRPr="005B541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Переход работника в другой филиал (представительство) признается переводом на другую работу</w:t>
      </w:r>
    </w:p>
    <w:p w:rsidR="00F90B01" w:rsidRPr="005B541D" w:rsidRDefault="00F90B01" w:rsidP="00F90B01">
      <w:pPr>
        <w:spacing w:line="288" w:lineRule="auto"/>
        <w:ind w:firstLine="547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5B541D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p w:rsidR="00F90B01" w:rsidRPr="005B541D" w:rsidRDefault="00F90B01" w:rsidP="00F90B01">
      <w:pPr>
        <w:spacing w:line="288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5B541D"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Применимые нормы: ст. 55 ГК РФ,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части</w:t>
      </w:r>
      <w:r w:rsidRPr="005B541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первой</w:t>
      </w:r>
      <w:r w:rsidRPr="005B541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ст. 72.1 ТК РФ</w:t>
      </w:r>
    </w:p>
    <w:p w:rsidR="00F90B01" w:rsidRPr="005B541D" w:rsidRDefault="00F90B01" w:rsidP="00F90B01">
      <w:pPr>
        <w:spacing w:line="288" w:lineRule="auto"/>
        <w:ind w:firstLine="547"/>
        <w:jc w:val="both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B541D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Pr="005B54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Пункт 16 Постановления Пленума Верховного Суда РФ от 17.03.2004 N 2</w:t>
      </w: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:</w:t>
      </w:r>
    </w:p>
    <w:p w:rsidR="00F90B01" w:rsidRDefault="00F90B01" w:rsidP="00F90B01">
      <w:pPr>
        <w:spacing w:line="288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F90B01" w:rsidRPr="005B541D" w:rsidRDefault="00F90B01" w:rsidP="00F90B01">
      <w:pPr>
        <w:spacing w:line="288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gramStart"/>
      <w:r w:rsidRPr="005B541D">
        <w:rPr>
          <w:rFonts w:ascii="Arial" w:hAnsi="Arial" w:cs="Arial"/>
          <w:color w:val="000000"/>
          <w:sz w:val="21"/>
          <w:szCs w:val="21"/>
          <w:shd w:val="clear" w:color="auto" w:fill="FFFFFF"/>
        </w:rPr>
        <w:t>Переводом на другую работу следует считать постоянное или временное изменение трудовой функции работника и (или) структурного подразделения, в котором работает работник (если структурное подразделение было указано в трудовом договоре), при продолжении работы у того же работодателя, а также перевод на работу в другую местность вместе с работодателем (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части первой</w:t>
      </w:r>
      <w:r w:rsidRPr="005B541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статьи</w:t>
      </w:r>
      <w:r w:rsidRPr="005B541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72.1 ТК РФ).</w:t>
      </w:r>
      <w:proofErr w:type="gramEnd"/>
      <w:r w:rsidRPr="005B541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Под структурными подразделениями следует понимать как филиалы, представительства, так и отделы, цехи, участки и т.д.</w:t>
      </w:r>
    </w:p>
    <w:p w:rsidR="00F90B01" w:rsidRDefault="00F90B01" w:rsidP="00F90B01">
      <w:pPr>
        <w:spacing w:line="288" w:lineRule="auto"/>
        <w:ind w:firstLine="547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5B541D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статья 74 ТК РФ в случае, когда по причинам, связанным с изменением организационных или технологических условий труда (изменения в технике и технологии производства, структурная реорганизация производства, другие причины), определенные сторонами условия трудового договора не могут быть сохранены, допускается их изменение по инициативе работодателя, за исключением изменения трудовой функции работника.</w:t>
      </w:r>
    </w:p>
    <w:p w:rsidR="00F90B01" w:rsidRDefault="00F90B01" w:rsidP="00F90B0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0B01" w:rsidRPr="00C27E44" w:rsidRDefault="00F90B01" w:rsidP="00F90B0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27E44">
        <w:rPr>
          <w:rFonts w:ascii="Arial" w:hAnsi="Arial" w:cs="Arial"/>
          <w:sz w:val="20"/>
          <w:szCs w:val="20"/>
        </w:rPr>
        <w:t xml:space="preserve">Увольнение по п.7 ст.77 ТК РФ </w:t>
      </w:r>
      <w:r>
        <w:rPr>
          <w:rFonts w:ascii="Arial" w:hAnsi="Arial" w:cs="Arial"/>
          <w:sz w:val="20"/>
          <w:szCs w:val="20"/>
        </w:rPr>
        <w:t>будет</w:t>
      </w:r>
      <w:r w:rsidRPr="00C27E44">
        <w:rPr>
          <w:rFonts w:ascii="Arial" w:hAnsi="Arial" w:cs="Arial"/>
          <w:sz w:val="20"/>
          <w:szCs w:val="20"/>
        </w:rPr>
        <w:t xml:space="preserve"> неправомерно, когда замещаемая работником должность сокращается (ликвидируется, исключается из штатного расписания, оптимизируется</w:t>
      </w:r>
      <w:r>
        <w:rPr>
          <w:rFonts w:ascii="Arial" w:hAnsi="Arial" w:cs="Arial"/>
          <w:sz w:val="20"/>
          <w:szCs w:val="20"/>
        </w:rPr>
        <w:t xml:space="preserve"> и т.п.</w:t>
      </w:r>
      <w:r w:rsidRPr="00C27E44">
        <w:rPr>
          <w:rFonts w:ascii="Arial" w:hAnsi="Arial" w:cs="Arial"/>
          <w:sz w:val="20"/>
          <w:szCs w:val="20"/>
        </w:rPr>
        <w:t>), а взамен предлагается новая, предусматривающая иной объем и характер трудовых обязанностей, изм</w:t>
      </w:r>
      <w:r>
        <w:rPr>
          <w:rFonts w:ascii="Arial" w:hAnsi="Arial" w:cs="Arial"/>
          <w:sz w:val="20"/>
          <w:szCs w:val="20"/>
        </w:rPr>
        <w:t xml:space="preserve">енение размера заработной платы </w:t>
      </w:r>
      <w:r w:rsidRPr="000515DA">
        <w:rPr>
          <w:rFonts w:ascii="Arial" w:hAnsi="Arial" w:cs="Arial"/>
          <w:sz w:val="20"/>
          <w:szCs w:val="20"/>
        </w:rPr>
        <w:t>(см. Апелляционное </w:t>
      </w:r>
      <w:hyperlink r:id="rId9" w:tgtFrame="_blank" w:tooltip="Апелляционное определение Верховного суда Чувашской Республики от 15.04.2015 по делу N 33-1744/2015&#10;Требование: О восстановлении на работе, взыскании заработной платы за время вынужденного прогула, компенсации морального вреда.&#10;Обстоятельства: Истец счита" w:history="1">
        <w:r w:rsidRPr="000515DA">
          <w:rPr>
            <w:rFonts w:ascii="Arial" w:hAnsi="Arial" w:cs="Arial"/>
            <w:sz w:val="20"/>
            <w:szCs w:val="20"/>
          </w:rPr>
          <w:t>определение</w:t>
        </w:r>
      </w:hyperlink>
      <w:r w:rsidRPr="000515DA">
        <w:rPr>
          <w:rFonts w:ascii="Arial" w:hAnsi="Arial" w:cs="Arial"/>
          <w:sz w:val="20"/>
          <w:szCs w:val="20"/>
        </w:rPr>
        <w:t xml:space="preserve"> Верховного суда Чувашской Республики от 15.04.2015 по делу N 33-1744/2015, Определение </w:t>
      </w:r>
      <w:proofErr w:type="gramStart"/>
      <w:r w:rsidRPr="000515DA">
        <w:rPr>
          <w:rFonts w:ascii="Arial" w:hAnsi="Arial" w:cs="Arial"/>
          <w:sz w:val="20"/>
          <w:szCs w:val="20"/>
        </w:rPr>
        <w:t>ВС</w:t>
      </w:r>
      <w:proofErr w:type="gramEnd"/>
      <w:r w:rsidRPr="000515DA">
        <w:rPr>
          <w:rFonts w:ascii="Arial" w:hAnsi="Arial" w:cs="Arial"/>
          <w:sz w:val="20"/>
          <w:szCs w:val="20"/>
        </w:rPr>
        <w:t xml:space="preserve"> РФ от 16 мая 2014 г. N 5-КГ14-14).</w:t>
      </w:r>
    </w:p>
    <w:p w:rsidR="00F90B01" w:rsidRDefault="00F90B01" w:rsidP="00F90B01">
      <w:pPr>
        <w:spacing w:line="288" w:lineRule="auto"/>
        <w:ind w:firstLine="547"/>
        <w:jc w:val="both"/>
        <w:rPr>
          <w:rFonts w:ascii="Arial" w:hAnsi="Arial" w:cs="Arial"/>
          <w:sz w:val="20"/>
          <w:szCs w:val="20"/>
        </w:rPr>
      </w:pPr>
      <w:r w:rsidRPr="00C27E44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Нельзя говорить о </w:t>
      </w:r>
      <w:r>
        <w:rPr>
          <w:rFonts w:ascii="Arial" w:hAnsi="Arial" w:cs="Arial"/>
          <w:sz w:val="20"/>
          <w:szCs w:val="20"/>
        </w:rPr>
        <w:t xml:space="preserve">перераспределение функционала между обособленными подразделениями юридического лица, если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работнику предлагают в </w:t>
      </w:r>
      <w:r>
        <w:rPr>
          <w:rFonts w:ascii="Arial" w:hAnsi="Arial" w:cs="Arial"/>
          <w:sz w:val="20"/>
          <w:szCs w:val="20"/>
        </w:rPr>
        <w:t>другой местности (филиале, обособленном подразделение, представительстве) вакантные должности, которые уже были включены в штатное расписание,</w:t>
      </w:r>
      <w:r w:rsidRPr="00C27E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работодатель просто закрывает вакантные должности в этом обособленном  подразделение. Тем более в соответствии с требованием ст.81 ТК РФ,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работодатель обязан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предлагать вакансии в других местностях, если это предусмотрено коллективным договором, соглашениями, трудовым договором.</w:t>
      </w:r>
    </w:p>
    <w:p w:rsidR="00F90B01" w:rsidRDefault="00F90B01" w:rsidP="00F90B01">
      <w:pPr>
        <w:spacing w:line="288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F90B01" w:rsidRPr="00887A70" w:rsidRDefault="00F90B01" w:rsidP="00F90B01">
      <w:pPr>
        <w:spacing w:line="276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87A7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Нельзя говорить о </w:t>
      </w:r>
      <w:r w:rsidRPr="00887A70">
        <w:rPr>
          <w:rFonts w:ascii="Arial" w:hAnsi="Arial" w:cs="Arial"/>
          <w:sz w:val="20"/>
          <w:szCs w:val="20"/>
        </w:rPr>
        <w:t xml:space="preserve">перераспределение функционала между </w:t>
      </w:r>
      <w:r>
        <w:rPr>
          <w:rFonts w:ascii="Arial" w:hAnsi="Arial" w:cs="Arial"/>
          <w:sz w:val="20"/>
          <w:szCs w:val="20"/>
        </w:rPr>
        <w:t>обособленными подразделениями юридического лица</w:t>
      </w:r>
      <w:r w:rsidRPr="00887A70">
        <w:rPr>
          <w:rFonts w:ascii="Arial" w:hAnsi="Arial" w:cs="Arial"/>
          <w:sz w:val="20"/>
          <w:szCs w:val="20"/>
        </w:rPr>
        <w:t xml:space="preserve">, если </w:t>
      </w:r>
      <w:r w:rsidRPr="00887A7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работнику предлагают в </w:t>
      </w:r>
      <w:r w:rsidRPr="00887A70">
        <w:rPr>
          <w:rFonts w:ascii="Arial" w:hAnsi="Arial" w:cs="Arial"/>
          <w:sz w:val="20"/>
          <w:szCs w:val="20"/>
        </w:rPr>
        <w:t>другой местности (филиале, обособленном подразделение, представительстве) вакантные должности</w:t>
      </w:r>
      <w:r>
        <w:rPr>
          <w:rFonts w:ascii="Arial" w:hAnsi="Arial" w:cs="Arial"/>
          <w:sz w:val="20"/>
          <w:szCs w:val="20"/>
        </w:rPr>
        <w:t>,</w:t>
      </w:r>
      <w:r w:rsidRPr="00887A70">
        <w:rPr>
          <w:rFonts w:ascii="Arial" w:hAnsi="Arial" w:cs="Arial"/>
          <w:sz w:val="20"/>
          <w:szCs w:val="20"/>
        </w:rPr>
        <w:t xml:space="preserve"> которые были внесены в штатное расписание, когда </w:t>
      </w:r>
      <w:r>
        <w:rPr>
          <w:rFonts w:ascii="Arial" w:hAnsi="Arial" w:cs="Arial"/>
          <w:sz w:val="20"/>
          <w:szCs w:val="20"/>
        </w:rPr>
        <w:t>ликвидируется</w:t>
      </w:r>
      <w:r w:rsidRPr="00887A70">
        <w:rPr>
          <w:rFonts w:ascii="Arial" w:hAnsi="Arial" w:cs="Arial"/>
          <w:sz w:val="20"/>
          <w:szCs w:val="20"/>
        </w:rPr>
        <w:t xml:space="preserve"> подразделение, в котором работник выполнял свои трудовые функции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что подтверждается</w:t>
      </w:r>
      <w:r w:rsidRPr="00C27E4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сведения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ми,</w:t>
      </w:r>
      <w:r w:rsidRPr="00C27E4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пода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нными</w:t>
      </w:r>
      <w:r w:rsidRPr="00C27E4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 налоговую инспекцию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r w:rsidRPr="0099551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 случае прекращения деятельности филиала, представительства или иного обособленного структурного подразделения организации, расположенного в другой местности, расторжение </w:t>
      </w:r>
      <w:r w:rsidRPr="0099551C"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трудовых договоров с работниками этого подразделения производится по правилам, предусмотренным для случаев ликвидации организации ст.81 ТК РФ.</w:t>
      </w:r>
    </w:p>
    <w:p w:rsidR="00F90B01" w:rsidRPr="0099551C" w:rsidRDefault="00F90B01" w:rsidP="00F90B01">
      <w:pPr>
        <w:spacing w:line="288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F90B01" w:rsidRDefault="00F90B01" w:rsidP="00F90B01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Даже, если работодатель в </w:t>
      </w:r>
      <w:proofErr w:type="gramStart"/>
      <w:r>
        <w:rPr>
          <w:rFonts w:ascii="Arial" w:hAnsi="Arial" w:cs="Arial"/>
          <w:sz w:val="20"/>
          <w:szCs w:val="20"/>
        </w:rPr>
        <w:t>обособленном</w:t>
      </w:r>
      <w:proofErr w:type="gramEnd"/>
      <w:r>
        <w:rPr>
          <w:rFonts w:ascii="Arial" w:hAnsi="Arial" w:cs="Arial"/>
          <w:sz w:val="20"/>
          <w:szCs w:val="20"/>
        </w:rPr>
        <w:t xml:space="preserve"> подразделение, где работает работник, исключает из штатного расписания выборочно </w:t>
      </w:r>
      <w:r w:rsidRPr="005B541D">
        <w:rPr>
          <w:rFonts w:ascii="Arial" w:hAnsi="Arial" w:cs="Arial"/>
          <w:sz w:val="20"/>
          <w:szCs w:val="20"/>
        </w:rPr>
        <w:t>отделы, цеха, участки и т.д.</w:t>
      </w:r>
      <w:r>
        <w:rPr>
          <w:rFonts w:ascii="Arial" w:hAnsi="Arial" w:cs="Arial"/>
          <w:sz w:val="20"/>
          <w:szCs w:val="20"/>
        </w:rPr>
        <w:t xml:space="preserve">, то с учетом требования ст.72.1 ТК РФ это перевод на другую работу. </w:t>
      </w:r>
    </w:p>
    <w:p w:rsidR="00F90B01" w:rsidRPr="00F90B01" w:rsidRDefault="00F90B01" w:rsidP="00F90B01"/>
    <w:sectPr w:rsidR="00F90B01" w:rsidRPr="00F90B01" w:rsidSect="00C7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712C0"/>
    <w:multiLevelType w:val="multilevel"/>
    <w:tmpl w:val="FA86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D1771"/>
    <w:rsid w:val="001D1771"/>
    <w:rsid w:val="00222A73"/>
    <w:rsid w:val="00C70B1A"/>
    <w:rsid w:val="00F90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177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D1771"/>
    <w:rPr>
      <w:b/>
      <w:bCs/>
    </w:rPr>
  </w:style>
  <w:style w:type="character" w:styleId="a5">
    <w:name w:val="Hyperlink"/>
    <w:basedOn w:val="a0"/>
    <w:uiPriority w:val="99"/>
    <w:semiHidden/>
    <w:unhideWhenUsed/>
    <w:rsid w:val="00222A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83/790f7da763bc677a4a37e1a58868ebe831fe4c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9570/86dec005acc612a11374dc5a7e98523965f7e9b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4683/9813ddf0e50685b412c0736a2e7eae8c4c840ce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34683/790f7da763bc677a4a37e1a58868ebe831fe4c0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abinet/stat/nw/2015-06-04/click/consultant/?dst=http%3A%2F%2Fwww.consultant.ru%2Fdocument%2Fcons_doc_SOJ_1193630%2F%23utm_campaign%3Dnw%26utm_source%3Dconsultant%26utm_medium%3Demail%26utm_content%3Dbo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2022-04-25T04:36:00Z</dcterms:created>
  <dcterms:modified xsi:type="dcterms:W3CDTF">2022-04-25T05:02:00Z</dcterms:modified>
</cp:coreProperties>
</file>