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D76" w:rsidRPr="00984D76" w:rsidRDefault="00984D76" w:rsidP="00984D76">
      <w:pPr>
        <w:spacing w:after="222" w:line="328" w:lineRule="atLeast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1"/>
          <w:szCs w:val="31"/>
          <w:lang w:eastAsia="ru-RU"/>
        </w:rPr>
      </w:pPr>
      <w:r w:rsidRPr="00984D76">
        <w:rPr>
          <w:rFonts w:ascii="Times New Roman" w:eastAsia="Times New Roman" w:hAnsi="Times New Roman" w:cs="Times New Roman"/>
          <w:b/>
          <w:bCs/>
          <w:color w:val="000000"/>
          <w:kern w:val="36"/>
          <w:sz w:val="31"/>
          <w:szCs w:val="31"/>
          <w:lang w:eastAsia="ru-RU"/>
        </w:rPr>
        <w:t>&lt;О получении имущественных вычетов по НДФЛ при приобретении супругами квартиры в 2020 г., если супруг получил вычет при покупке квартиры в 2011 г., а супруга не имеет дохода, облагаемого по ставке 13%&gt;</w:t>
      </w:r>
    </w:p>
    <w:p w:rsidR="00984D76" w:rsidRPr="00984D76" w:rsidRDefault="00984D76" w:rsidP="00984D76">
      <w:pPr>
        <w:spacing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Министерство финансов РФ письмо от 18.11.2019 № 03-04-05/88716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Департамент налоговой и таможенной политики рассмотрел обращение от 28.10.2019 по вопросу получения имущественного налогового вычета по налогу на доходы физических лиц и в соответствии со статьей 34.2 Налогового кодекса Российской Федерации (далее - Кодекс) разъясняет следующее.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 обращения следует, что супруги приобрели квартиру в долевую собственность в 2011 году. Супруг воспользовался имущественным налоговым вычетом по данной квартире. В 2020 г. супруги планируют купить другую квартиру в общую совместную собственность. При этом супруга не имеет доходов, облагаемых по ставке 13 процентов.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Согласно пункту 3 статьи 210 Кодекса для доходов, в отношении которых предусмотрена налоговая ставка, установленная пунктом 1 статьи 224 Кодекса, налоговая база по налогу на дохода физических лиц определяется как денежное выражение таких доходов, подлежащих налогообложению, уменьшенных на сумму налоговых вычетов, предусмотренных статьями 218 - 221 Кодекса, с учетом особенностей, установленных главой 23 «Налог на доходы физических лиц» Кодекса.</w:t>
      </w:r>
      <w:proofErr w:type="gramEnd"/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proofErr w:type="gramStart"/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 соответствии с подпунктом 3 пункта 1 статьи 220 Кодекса при определении размера налоговой базы по налогу на доходы физических лиц налогоплательщик имеет право на получение имущественного налогового вычета в размере фактически произведенных налогоплательщиком расходов на новое строительство либо приобретение на территории Российской Федерации жилых домов, квартир, комнат или доли (долей) в них, приобретение земельных участков или доли (долей) в</w:t>
      </w:r>
      <w:proofErr w:type="gramEnd"/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них, предоставленных для индивидуального жилищного строительства, и земельных участков или доли (долей) в них, на которых расположены приобретаемые жилые дома или доля (доли) в них.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При этом согласно подпункту 1 пункта 3 статьи 220 Кодекса указанный имущественный налоговый вычет предоставляется в размере фактически произведенных налогоплательщиком расходов на новое строительство либо приобретение на территории Российской Федерации одного или нескольких объектов имущества, указанного в подпункте 3 пункта 1 статьи 220 Кодекса, не превышающем 2 000 </w:t>
      </w:r>
      <w:proofErr w:type="spellStart"/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000</w:t>
      </w:r>
      <w:proofErr w:type="spellEnd"/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 рублей.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Таким образом, имущественный налоговый вычет по расходам на приобретение, в частности, квартиры предоставляется налогоплательщику в виде уменьшения полученных им в налоговом периоде доходов, подлежащих обложению по ставке, установленной пунктом 1 статьи 224 Кодекса.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При этом согласно пункту 11 статьи 220 Кодекса повторное предоставление налогоплательщику имущественных налоговых вычетов, предусмотренных подпунктами 3 и 4 пункта 1 статьи 220 Кодекса, не допускается.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lastRenderedPageBreak/>
        <w:t xml:space="preserve">Пунктом 1 статьи 256 Гражданского кодекса Российской Федерации и пунктом 1 статьи 34 Семейного кодекса Российской Федерации установлено, что имущество, нажитое супругами во время брака, является их совместной собственностью, если брачным договором между ними не установлен иной режим этого имущества. </w:t>
      </w:r>
      <w:r w:rsidRPr="00984D7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При этом не имеет значения, на имя кого из супругов оформлено такое имущество, а также кем из них вносились деньги при его приобретении.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Для целей налогообложения </w:t>
      </w:r>
      <w:r w:rsidRPr="00984D7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каждый из супругов является самостоятельным налогоплательщиком при наличии у него доходов</w:t>
      </w: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, облагаемых по ставке 13 процентов.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Учитывая </w:t>
      </w:r>
      <w:proofErr w:type="gramStart"/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изложенное</w:t>
      </w:r>
      <w:proofErr w:type="gramEnd"/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 xml:space="preserve">, поскольку супруг воспользовался имущественным налоговым вычетом по налогу на доходы физических лиц по квартире, приобретенной в долевую собственность с супругой в 2011 году, </w:t>
      </w:r>
      <w:r w:rsidRPr="00984D76">
        <w:rPr>
          <w:rFonts w:ascii="Arial" w:eastAsia="Times New Roman" w:hAnsi="Arial" w:cs="Arial"/>
          <w:b/>
          <w:color w:val="000000" w:themeColor="text1"/>
          <w:sz w:val="24"/>
          <w:szCs w:val="24"/>
          <w:lang w:eastAsia="ru-RU"/>
        </w:rPr>
        <w:t>оснований для получения указанного вычета в отношении расходов в связи с приобретением в общую совместную собственность еще одного жилого объекта не имеется.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Возможность применения иного порядка получения имущественного налогового вычета, включая передачу права на данный вычет другому супругу, при приобретении квартиры статьей 220 Кодекса не предусмотрена.</w:t>
      </w:r>
    </w:p>
    <w:p w:rsidR="00984D76" w:rsidRPr="00984D76" w:rsidRDefault="00984D76" w:rsidP="00984D76">
      <w:pPr>
        <w:spacing w:before="100" w:beforeAutospacing="1" w:after="111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  <w:t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налогоплательщикам, налоговым агентам и налоговым органам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</w:t>
      </w:r>
    </w:p>
    <w:p w:rsidR="00984D76" w:rsidRPr="00984D76" w:rsidRDefault="00984D76" w:rsidP="00984D76">
      <w:pPr>
        <w:spacing w:before="100" w:beforeAutospacing="1" w:after="111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Заместитель директора Департамента</w:t>
      </w:r>
    </w:p>
    <w:p w:rsidR="00984D76" w:rsidRPr="00984D76" w:rsidRDefault="00984D76" w:rsidP="00984D76">
      <w:pPr>
        <w:spacing w:before="100" w:beforeAutospacing="1" w:after="111" w:line="240" w:lineRule="auto"/>
        <w:jc w:val="right"/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</w:pPr>
      <w:r w:rsidRPr="00984D76">
        <w:rPr>
          <w:rFonts w:ascii="Arial" w:eastAsia="Times New Roman" w:hAnsi="Arial" w:cs="Arial"/>
          <w:color w:val="000000" w:themeColor="text1"/>
          <w:sz w:val="20"/>
          <w:szCs w:val="20"/>
          <w:lang w:eastAsia="ru-RU"/>
        </w:rPr>
        <w:t>Р.А.СААКЯН</w:t>
      </w:r>
    </w:p>
    <w:sectPr w:rsidR="00984D76" w:rsidRPr="00984D76" w:rsidSect="00773E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AC792B"/>
    <w:rsid w:val="00773EAD"/>
    <w:rsid w:val="00984D76"/>
    <w:rsid w:val="00A36825"/>
    <w:rsid w:val="00AC79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EAD"/>
  </w:style>
  <w:style w:type="paragraph" w:styleId="1">
    <w:name w:val="heading 1"/>
    <w:basedOn w:val="a"/>
    <w:link w:val="10"/>
    <w:uiPriority w:val="9"/>
    <w:qFormat/>
    <w:rsid w:val="00984D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C7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C792B"/>
    <w:rPr>
      <w:color w:val="0000FF"/>
      <w:u w:val="single"/>
    </w:rPr>
  </w:style>
  <w:style w:type="character" w:styleId="a5">
    <w:name w:val="Strong"/>
    <w:basedOn w:val="a0"/>
    <w:uiPriority w:val="22"/>
    <w:qFormat/>
    <w:rsid w:val="00AC792B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84D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date">
    <w:name w:val="date"/>
    <w:basedOn w:val="a0"/>
    <w:rsid w:val="00984D76"/>
  </w:style>
  <w:style w:type="character" w:customStyle="1" w:styleId="line">
    <w:name w:val="line"/>
    <w:basedOn w:val="a0"/>
    <w:rsid w:val="00984D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58878">
              <w:marLeft w:val="0"/>
              <w:marRight w:val="0"/>
              <w:marTop w:val="0"/>
              <w:marBottom w:val="2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059">
                  <w:marLeft w:val="0"/>
                  <w:marRight w:val="0"/>
                  <w:marTop w:val="0"/>
                  <w:marBottom w:val="8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730003">
              <w:marLeft w:val="0"/>
              <w:marRight w:val="0"/>
              <w:marTop w:val="0"/>
              <w:marBottom w:val="122"/>
              <w:divBdr>
                <w:top w:val="none" w:sz="0" w:space="0" w:color="auto"/>
                <w:left w:val="none" w:sz="0" w:space="0" w:color="auto"/>
                <w:bottom w:val="single" w:sz="4" w:space="4" w:color="ACACAC"/>
                <w:right w:val="none" w:sz="0" w:space="0" w:color="auto"/>
              </w:divBdr>
            </w:div>
          </w:divsChild>
        </w:div>
        <w:div w:id="1825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6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87995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76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1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641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0376849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98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8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759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39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491898">
                              <w:marLeft w:val="0"/>
                              <w:marRight w:val="0"/>
                              <w:marTop w:val="4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Viktoriya Viktoriya</dc:creator>
  <cp:lastModifiedBy>Viktoriya Viktoriya</cp:lastModifiedBy>
  <cp:revision>1</cp:revision>
  <dcterms:created xsi:type="dcterms:W3CDTF">2022-06-20T01:57:00Z</dcterms:created>
  <dcterms:modified xsi:type="dcterms:W3CDTF">2022-06-20T02:32:00Z</dcterms:modified>
</cp:coreProperties>
</file>