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1F" w:rsidRPr="00C96F1F" w:rsidRDefault="00C96F1F" w:rsidP="00C96F1F">
      <w:pPr>
        <w:spacing w:before="220" w:after="0" w:line="240" w:lineRule="auto"/>
        <w:ind w:left="427" w:right="427"/>
        <w:outlineLvl w:val="1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 xml:space="preserve">Можно ли ограничивать смену работником </w:t>
      </w:r>
      <w:proofErr w:type="spellStart"/>
      <w:r w:rsidRPr="00C96F1F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 xml:space="preserve"> банка?</w:t>
      </w:r>
    </w:p>
    <w:p w:rsidR="00C96F1F" w:rsidRPr="00C96F1F" w:rsidRDefault="00C96F1F" w:rsidP="00C96F1F">
      <w:pPr>
        <w:spacing w:line="480" w:lineRule="atLeast"/>
        <w:ind w:right="622"/>
        <w:rPr>
          <w:rFonts w:ascii="Verdana" w:eastAsia="Times New Roman" w:hAnsi="Verdana" w:cs="Times New Roman"/>
          <w:color w:val="848484"/>
          <w:sz w:val="13"/>
          <w:szCs w:val="13"/>
          <w:lang w:eastAsia="ru-RU"/>
        </w:rPr>
      </w:pPr>
      <w:r w:rsidRPr="00C96F1F">
        <w:rPr>
          <w:rFonts w:ascii="Verdana" w:eastAsia="Times New Roman" w:hAnsi="Verdana" w:cs="Times New Roman"/>
          <w:color w:val="848484"/>
          <w:sz w:val="13"/>
          <w:szCs w:val="13"/>
          <w:lang w:eastAsia="ru-RU"/>
        </w:rPr>
        <w:t>Дата публикации 26.08.2022</w:t>
      </w:r>
    </w:p>
    <w:p w:rsidR="00C96F1F" w:rsidRPr="00C96F1F" w:rsidRDefault="00C96F1F" w:rsidP="00C96F1F">
      <w:pPr>
        <w:spacing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5" w:anchor="annotation_href" w:history="1"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Смотрите также</w:t>
        </w:r>
      </w:hyperlink>
    </w:p>
    <w:p w:rsidR="00C96F1F" w:rsidRPr="00C96F1F" w:rsidRDefault="00C96F1F" w:rsidP="00C96F1F">
      <w:pPr>
        <w:spacing w:before="342" w:after="0" w:line="240" w:lineRule="auto"/>
        <w:ind w:left="427" w:right="427"/>
        <w:outlineLvl w:val="2"/>
        <w:rPr>
          <w:rFonts w:ascii="Verdana" w:eastAsia="Times New Roman" w:hAnsi="Verdana" w:cs="Times New Roman"/>
          <w:color w:val="373737"/>
          <w:sz w:val="32"/>
          <w:szCs w:val="32"/>
          <w:lang w:eastAsia="ru-RU"/>
        </w:rPr>
      </w:pPr>
      <w:r w:rsidRPr="00C96F1F">
        <w:rPr>
          <w:rFonts w:ascii="Verdana" w:eastAsia="Times New Roman" w:hAnsi="Verdana" w:cs="Times New Roman"/>
          <w:color w:val="373737"/>
          <w:sz w:val="32"/>
          <w:szCs w:val="32"/>
          <w:lang w:eastAsia="ru-RU"/>
        </w:rPr>
        <w:t>Документ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Письмо Минтруда России </w:t>
      </w:r>
      <w:hyperlink r:id="rId6" w:tgtFrame="_top" w:history="1"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от 02.03.2021 № 14-2/ООГ-1812</w:t>
        </w:r>
      </w:hyperlink>
    </w:p>
    <w:p w:rsidR="00C96F1F" w:rsidRPr="00C96F1F" w:rsidRDefault="00C96F1F" w:rsidP="00C96F1F">
      <w:pPr>
        <w:spacing w:before="342" w:after="0" w:line="240" w:lineRule="auto"/>
        <w:ind w:left="427" w:right="427"/>
        <w:outlineLvl w:val="2"/>
        <w:rPr>
          <w:rFonts w:ascii="Verdana" w:eastAsia="Times New Roman" w:hAnsi="Verdana" w:cs="Times New Roman"/>
          <w:color w:val="373737"/>
          <w:sz w:val="32"/>
          <w:szCs w:val="32"/>
          <w:lang w:eastAsia="ru-RU"/>
        </w:rPr>
      </w:pPr>
      <w:r w:rsidRPr="00C96F1F">
        <w:rPr>
          <w:rFonts w:ascii="Verdana" w:eastAsia="Times New Roman" w:hAnsi="Verdana" w:cs="Times New Roman"/>
          <w:color w:val="373737"/>
          <w:sz w:val="32"/>
          <w:szCs w:val="32"/>
          <w:lang w:eastAsia="ru-RU"/>
        </w:rPr>
        <w:t>Комментарий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Работодатель не вправе устанавливать ограничения на смену работником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банка. Об этом напомнил Минтруд России в письме </w:t>
      </w:r>
      <w:hyperlink r:id="rId7" w:tgtFrame="_top" w:history="1"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от 02.03.2021 № 14-2/ООГ-1812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Выплачивать заработную плату работникам можно наличными деньгами (через кассу) и в безналичном порядке на их банковские счета. Условия перевода заработной платы в кредитную организацию, указанную в заявлении работника, необходимо установить коллективным или трудовым договором (</w:t>
      </w:r>
      <w:hyperlink r:id="rId8" w:tgtFrame="_top" w:history="1">
        <w:proofErr w:type="gramStart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ч</w:t>
        </w:r>
        <w:proofErr w:type="gramEnd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. 3 ст. 136 ТК РФ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). В письменном заявлении работнику необходимо указать реквизиты банковского счета для перечисления заработной платы.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Работник вправе сменить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зарплатный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банк, в который работодатель перечисляет его заработную плату. Для этого работнику необходимо подать работодателю письменное заявление об изменении реквизитов банковского счета не </w:t>
      </w:r>
      <w:proofErr w:type="gram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позднее</w:t>
      </w:r>
      <w:proofErr w:type="gram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чем за 15 календарных дней до даты выплаты заработной платы (</w:t>
      </w:r>
      <w:hyperlink r:id="rId9" w:tgtFrame="_top" w:history="1"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ч. 3 ст. 136 ТК РФ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письмо Минтруда России </w:t>
      </w:r>
      <w:hyperlink r:id="rId10" w:tgtFrame="_top" w:history="1"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от 24.09.2019 № 14-1/ООГ-6957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Трудовым законодательством установлен только срок предупреждения работодателя об изменении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банка. При этом периодичность смены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банка не ограничена. Например, если в трудовом договоре или локальном нормативном акте работодателя есть условие, ограничивающее смену работником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банка, это является нарушением трудового законодательства.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 xml:space="preserve">Таким образом, работники могут менять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зарплатный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 (например, один раз в полугодие), поскольку законодательно это не запрещено. По законодательству работодатель не вправе ограничивать периодичность смены работником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зарплатного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банка.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Если работодатель не позволяет работнику сменить </w:t>
      </w:r>
      <w:proofErr w:type="spellStart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зарплатный</w:t>
      </w:r>
      <w:proofErr w:type="spellEnd"/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банк, работодателя можно привлечь к административной ответственности на основании </w:t>
      </w:r>
      <w:hyperlink r:id="rId11" w:tgtFrame="_top" w:history="1">
        <w:proofErr w:type="gramStart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ч</w:t>
        </w:r>
        <w:proofErr w:type="gramEnd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 xml:space="preserve">. 6 ст. 5.27 </w:t>
        </w:r>
        <w:proofErr w:type="spellStart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КоАП</w:t>
        </w:r>
        <w:proofErr w:type="spellEnd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 xml:space="preserve"> РФ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которая предусматривает:</w:t>
      </w:r>
    </w:p>
    <w:p w:rsidR="00C96F1F" w:rsidRPr="00C96F1F" w:rsidRDefault="00C96F1F" w:rsidP="00C96F1F">
      <w:pPr>
        <w:numPr>
          <w:ilvl w:val="0"/>
          <w:numId w:val="1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должностных лиц – предупреждение или штраф в размере от 10 000 до 20 000 рублей;</w:t>
      </w:r>
    </w:p>
    <w:p w:rsidR="00C96F1F" w:rsidRPr="00C96F1F" w:rsidRDefault="00C96F1F" w:rsidP="00C96F1F">
      <w:pPr>
        <w:numPr>
          <w:ilvl w:val="0"/>
          <w:numId w:val="1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индивидуальных предпринимателей – предупреждение или штраф в размере от 1 000 до 5000 рублей;</w:t>
      </w:r>
    </w:p>
    <w:p w:rsidR="00C96F1F" w:rsidRPr="00C96F1F" w:rsidRDefault="00C96F1F" w:rsidP="00C96F1F">
      <w:pPr>
        <w:numPr>
          <w:ilvl w:val="0"/>
          <w:numId w:val="1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юридических лиц – предупреждение или штраф в размере от 30 000 до 50 000 рублей.</w:t>
      </w:r>
    </w:p>
    <w:p w:rsidR="00C96F1F" w:rsidRPr="00C96F1F" w:rsidRDefault="00C96F1F" w:rsidP="00C96F1F">
      <w:pPr>
        <w:spacing w:before="85" w:after="85" w:line="480" w:lineRule="atLeast"/>
        <w:ind w:left="42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Повторное совершение аналогичного правонарушения может повлечь (</w:t>
      </w:r>
      <w:hyperlink r:id="rId12" w:tgtFrame="_top" w:history="1">
        <w:proofErr w:type="gramStart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ч</w:t>
        </w:r>
        <w:proofErr w:type="gramEnd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 xml:space="preserve">. 7 ст. 5.27 </w:t>
        </w:r>
        <w:proofErr w:type="spellStart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КоАП</w:t>
        </w:r>
        <w:proofErr w:type="spellEnd"/>
        <w:r w:rsidRPr="00C96F1F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 xml:space="preserve"> РФ</w:t>
        </w:r>
      </w:hyperlink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):</w:t>
      </w:r>
    </w:p>
    <w:p w:rsidR="00C96F1F" w:rsidRPr="00C96F1F" w:rsidRDefault="00C96F1F" w:rsidP="00C96F1F">
      <w:pPr>
        <w:numPr>
          <w:ilvl w:val="0"/>
          <w:numId w:val="2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должностных лиц – наложение штрафа от 20 000 до 30 000 рублей или дисквалификацию на срок от одного года до трех лет;</w:t>
      </w:r>
    </w:p>
    <w:p w:rsidR="00C96F1F" w:rsidRPr="00C96F1F" w:rsidRDefault="00C96F1F" w:rsidP="00C96F1F">
      <w:pPr>
        <w:numPr>
          <w:ilvl w:val="0"/>
          <w:numId w:val="2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для индивидуальных предпринимателей – наложение штрафа от 10 000 до 30 000 рублей;</w:t>
      </w:r>
    </w:p>
    <w:p w:rsidR="00C96F1F" w:rsidRPr="00C96F1F" w:rsidRDefault="00C96F1F" w:rsidP="00C96F1F">
      <w:pPr>
        <w:numPr>
          <w:ilvl w:val="0"/>
          <w:numId w:val="2"/>
        </w:numPr>
        <w:spacing w:before="100" w:beforeAutospacing="1" w:after="100" w:afterAutospacing="1" w:line="480" w:lineRule="atLeast"/>
        <w:ind w:left="567" w:right="42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96F1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юридических лиц – наложение штрафа от 50 000 до 100 000 рублей.</w:t>
      </w:r>
    </w:p>
    <w:p w:rsidR="00E8596E" w:rsidRDefault="00E8596E"/>
    <w:sectPr w:rsidR="00E8596E" w:rsidSect="00E8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3671"/>
    <w:multiLevelType w:val="multilevel"/>
    <w:tmpl w:val="B62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42A37"/>
    <w:multiLevelType w:val="multilevel"/>
    <w:tmpl w:val="566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6F1F"/>
    <w:rsid w:val="00C96F1F"/>
    <w:rsid w:val="00E8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6E"/>
  </w:style>
  <w:style w:type="paragraph" w:styleId="2">
    <w:name w:val="heading 2"/>
    <w:basedOn w:val="a"/>
    <w:link w:val="20"/>
    <w:uiPriority w:val="9"/>
    <w:qFormat/>
    <w:rsid w:val="00C96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F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C9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C9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6F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225">
          <w:marLeft w:val="427"/>
          <w:marRight w:val="427"/>
          <w:marTop w:val="98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43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25268/hdoc/13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s.1c.ru/docs/letters/mintrud-2021.03.02-1812" TargetMode="External"/><Relationship Id="rId12" Type="http://schemas.openxmlformats.org/officeDocument/2006/relationships/hyperlink" Target="https://its.1c.ru/db/garant/content/12025267/hdoc/52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ocs/letters/mintrud-2021.03.02-1812" TargetMode="External"/><Relationship Id="rId11" Type="http://schemas.openxmlformats.org/officeDocument/2006/relationships/hyperlink" Target="https://its.1c.ru/db/garant/content/12025267/hdoc/52706" TargetMode="External"/><Relationship Id="rId5" Type="http://schemas.openxmlformats.org/officeDocument/2006/relationships/hyperlink" Target="https://its.1c.ru/db/content/newsclar/src/480647.htm" TargetMode="External"/><Relationship Id="rId10" Type="http://schemas.openxmlformats.org/officeDocument/2006/relationships/hyperlink" Target="https://its.1c.ru/db/garant/content/72688824/h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12025268/hdoc/13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2022-08-29T05:16:00Z</dcterms:created>
  <dcterms:modified xsi:type="dcterms:W3CDTF">2022-08-29T05:17:00Z</dcterms:modified>
</cp:coreProperties>
</file>